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73442">
      <w:pPr>
        <w:rPr>
          <w:rFonts w:hint="eastAsia" w:ascii="黑体" w:hAnsi="黑体" w:eastAsia="黑体"/>
          <w:sz w:val="32"/>
          <w:szCs w:val="32"/>
        </w:rPr>
      </w:pPr>
    </w:p>
    <w:p w14:paraId="3A9C9A06">
      <w:pPr>
        <w:jc w:val="center"/>
        <w:rPr>
          <w:rFonts w:hint="eastAsia" w:ascii="方正小标宋_GBK" w:hAnsi="宋体" w:eastAsia="方正小标宋_GBK"/>
          <w:sz w:val="44"/>
          <w:szCs w:val="44"/>
        </w:rPr>
      </w:pPr>
    </w:p>
    <w:p w14:paraId="24CDAE0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w:t>
      </w:r>
      <w:r>
        <w:rPr>
          <w:rFonts w:hint="eastAsia" w:ascii="方正小标宋_GBK" w:hAnsi="宋体" w:eastAsia="方正小标宋_GBK"/>
          <w:sz w:val="44"/>
          <w:szCs w:val="44"/>
          <w:lang w:val="en-US" w:eastAsia="zh-CN"/>
        </w:rPr>
        <w:t>县</w:t>
      </w:r>
      <w:r>
        <w:rPr>
          <w:rFonts w:hint="eastAsia" w:ascii="方正小标宋_GBK" w:hAnsi="宋体" w:eastAsia="方正小标宋_GBK"/>
          <w:sz w:val="44"/>
          <w:szCs w:val="44"/>
        </w:rPr>
        <w:t>应急管理局</w:t>
      </w:r>
    </w:p>
    <w:p w14:paraId="019AE25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DEA179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89802F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AB61CB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778D1B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11330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8440C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5B1B65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DAE35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F4C102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41521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9B9E4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B8B8F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40AF5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38207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E6CBA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C40A35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6C6BC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139BB5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ED4A75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F255B7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7321B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84C436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0C1FE5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D470D2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9CF3CF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E62E6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339AE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6DEE1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F70AA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0554A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0C44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8A0F88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26AF5A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C5F2B16">
      <w:r>
        <w:rPr>
          <w:rFonts w:hint="eastAsia" w:ascii="仿宋_GB2312" w:hAnsi="仿宋_GB2312" w:eastAsia="仿宋_GB2312" w:cs="仿宋_GB2312"/>
          <w:sz w:val="32"/>
          <w:szCs w:val="32"/>
        </w:rPr>
        <w:fldChar w:fldCharType="end"/>
      </w:r>
    </w:p>
    <w:p w14:paraId="7A04CAE6">
      <w:pPr>
        <w:rPr>
          <w:rFonts w:ascii="仿宋_GB2312" w:eastAsia="仿宋_GB2312"/>
          <w:sz w:val="32"/>
          <w:szCs w:val="32"/>
        </w:rPr>
      </w:pPr>
      <w:r>
        <w:rPr>
          <w:rFonts w:hint="eastAsia" w:ascii="仿宋_GB2312" w:eastAsia="仿宋_GB2312"/>
          <w:sz w:val="32"/>
          <w:szCs w:val="32"/>
        </w:rPr>
        <w:br w:type="page"/>
      </w:r>
    </w:p>
    <w:p w14:paraId="24E8C694">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116DA5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4C2BC0E">
      <w:pPr>
        <w:ind w:firstLine="640" w:firstLineChars="200"/>
        <w:rPr>
          <w:rFonts w:ascii="仿宋_GB2312" w:eastAsia="仿宋_GB2312"/>
          <w:sz w:val="32"/>
          <w:szCs w:val="32"/>
        </w:rPr>
      </w:pPr>
      <w:r>
        <w:rPr>
          <w:rFonts w:hint="eastAsia" w:ascii="仿宋_GB2312" w:eastAsia="仿宋_GB2312"/>
          <w:sz w:val="32"/>
          <w:szCs w:val="32"/>
        </w:rPr>
        <w:t>负责应急管理工作，指导各乡镇、各部门应对安全生产类、自然灾害类突发事件和综合防灾减灾工作；组织编制应急体系建设，安全生产和综合防灾减灾规划；负责安全生产类、自然灾害类应急预案体系建设，建立完善事故灾难和自然灾害分级应对制度。</w:t>
      </w:r>
    </w:p>
    <w:p w14:paraId="2DB5426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DC015D3">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w:t>
      </w:r>
      <w:r>
        <w:rPr>
          <w:rFonts w:hint="eastAsia" w:ascii="仿宋_GB2312" w:eastAsia="仿宋_GB2312"/>
          <w:sz w:val="32"/>
          <w:szCs w:val="32"/>
          <w:lang w:val="en-US" w:eastAsia="zh-CN"/>
        </w:rPr>
        <w:t>县</w:t>
      </w:r>
      <w:r>
        <w:rPr>
          <w:rFonts w:hint="eastAsia" w:ascii="仿宋_GB2312" w:eastAsia="仿宋_GB2312"/>
          <w:sz w:val="32"/>
          <w:szCs w:val="32"/>
        </w:rPr>
        <w:t>应急管理局2023年度，实有人数</w:t>
      </w:r>
      <w:r>
        <w:rPr>
          <w:rFonts w:hint="eastAsia" w:ascii="仿宋_GB2312" w:eastAsia="仿宋_GB2312"/>
          <w:sz w:val="32"/>
          <w:szCs w:val="32"/>
          <w:lang w:val="zh-CN"/>
        </w:rPr>
        <w:t>26</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0EECC77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w:t>
      </w:r>
      <w:r>
        <w:rPr>
          <w:rFonts w:hint="eastAsia" w:ascii="仿宋_GB2312" w:eastAsia="仿宋_GB2312"/>
          <w:sz w:val="32"/>
          <w:szCs w:val="32"/>
        </w:rPr>
        <w:t>属预算单位，下设1个处室，分别是：办公室。</w:t>
      </w:r>
    </w:p>
    <w:p w14:paraId="64EE078E">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AA4BC50">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CD907DA">
      <w:pPr>
        <w:ind w:firstLine="640" w:firstLineChars="200"/>
        <w:jc w:val="left"/>
        <w:rPr>
          <w:rFonts w:ascii="仿宋_GB2312" w:eastAsia="仿宋_GB2312"/>
          <w:sz w:val="32"/>
          <w:szCs w:val="32"/>
        </w:rPr>
      </w:pPr>
      <w:r>
        <w:rPr>
          <w:rFonts w:hint="eastAsia" w:ascii="仿宋_GB2312" w:eastAsia="仿宋_GB2312"/>
          <w:sz w:val="32"/>
          <w:szCs w:val="32"/>
        </w:rPr>
        <w:t>2023年度收入总计841.85万元，其中：本年收入合计841.85万元，使用非财政拨款结余0.00万元，年初结转和结余0.00万元。</w:t>
      </w:r>
    </w:p>
    <w:p w14:paraId="6D0F1846">
      <w:pPr>
        <w:ind w:firstLine="640" w:firstLineChars="200"/>
        <w:jc w:val="left"/>
        <w:rPr>
          <w:rFonts w:ascii="仿宋_GB2312" w:eastAsia="仿宋_GB2312"/>
          <w:sz w:val="32"/>
          <w:szCs w:val="32"/>
        </w:rPr>
      </w:pPr>
      <w:r>
        <w:rPr>
          <w:rFonts w:hint="eastAsia" w:ascii="仿宋_GB2312" w:eastAsia="仿宋_GB2312"/>
          <w:sz w:val="32"/>
          <w:szCs w:val="32"/>
        </w:rPr>
        <w:t>2023年度支出总计841.85万元，其中：本年支出合计841.85万元，结余分配0.00万元，年末结转和结余0.00万元。</w:t>
      </w:r>
    </w:p>
    <w:p w14:paraId="77232CB6">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w:t>
      </w:r>
      <w:r>
        <w:rPr>
          <w:rFonts w:hint="eastAsia" w:ascii="仿宋_GB2312" w:eastAsia="仿宋_GB2312"/>
          <w:sz w:val="32"/>
          <w:szCs w:val="32"/>
          <w:lang w:val="en-US" w:eastAsia="zh-CN"/>
        </w:rPr>
        <w:t>本</w:t>
      </w:r>
      <w:r>
        <w:rPr>
          <w:rFonts w:hint="eastAsia" w:ascii="仿宋_GB2312" w:eastAsia="仿宋_GB2312"/>
          <w:sz w:val="32"/>
          <w:szCs w:val="32"/>
        </w:rPr>
        <w:t>年购买应急物资及帐篷</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应急灾害防治</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自治区“为民办实事”工作专项经费增加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单位本年人员增加，工资、津贴补贴、奖金等相关人员经费增加</w:t>
      </w:r>
      <w:r>
        <w:rPr>
          <w:rFonts w:hint="eastAsia" w:ascii="仿宋_GB2312" w:eastAsia="仿宋_GB2312"/>
          <w:sz w:val="32"/>
          <w:szCs w:val="32"/>
        </w:rPr>
        <w:t>。</w:t>
      </w:r>
    </w:p>
    <w:p w14:paraId="1B7748E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A350A28">
      <w:pPr>
        <w:ind w:firstLine="640" w:firstLineChars="200"/>
        <w:jc w:val="left"/>
        <w:rPr>
          <w:rFonts w:ascii="仿宋_GB2312" w:eastAsia="仿宋_GB2312"/>
          <w:sz w:val="32"/>
          <w:szCs w:val="32"/>
        </w:rPr>
      </w:pPr>
      <w:r>
        <w:rPr>
          <w:rFonts w:hint="eastAsia" w:ascii="仿宋_GB2312" w:eastAsia="仿宋_GB2312"/>
          <w:sz w:val="32"/>
          <w:szCs w:val="32"/>
        </w:rPr>
        <w:t>本年收入841.85万元，其中：财政拨款收入</w:t>
      </w:r>
      <w:r>
        <w:rPr>
          <w:rFonts w:hint="eastAsia" w:ascii="仿宋_GB2312" w:eastAsia="仿宋_GB2312"/>
          <w:sz w:val="32"/>
          <w:szCs w:val="32"/>
          <w:lang w:val="zh-CN"/>
        </w:rPr>
        <w:t>841.85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FD36F8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D6992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本年支出841.85万元，其中：基本支出753.60万元，占89.52%；项目支出88.25万元，占10.48%；上缴上级支出0.00万元，占0.00%；经营支出0.00万元，占0.00%；对附属单位补助支出0.00万元，占0.00%。</w:t>
      </w:r>
    </w:p>
    <w:p w14:paraId="7636CA6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EFF49E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841.85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841.85</w:t>
      </w:r>
      <w:r>
        <w:rPr>
          <w:rFonts w:hint="eastAsia" w:ascii="仿宋_GB2312" w:eastAsia="仿宋_GB2312"/>
          <w:sz w:val="32"/>
          <w:szCs w:val="32"/>
        </w:rPr>
        <w:t>万元。财政拨款支出总计</w:t>
      </w:r>
      <w:r>
        <w:rPr>
          <w:rFonts w:hint="eastAsia" w:ascii="仿宋_GB2312" w:eastAsia="仿宋_GB2312"/>
          <w:sz w:val="32"/>
          <w:szCs w:val="32"/>
          <w:lang w:val="zh-CN"/>
        </w:rPr>
        <w:t>841.85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841.85</w:t>
      </w:r>
      <w:r>
        <w:rPr>
          <w:rFonts w:hint="eastAsia" w:ascii="仿宋_GB2312" w:eastAsia="仿宋_GB2312"/>
          <w:sz w:val="32"/>
          <w:szCs w:val="32"/>
        </w:rPr>
        <w:t>万元。</w:t>
      </w:r>
    </w:p>
    <w:p w14:paraId="12C3DCA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w:t>
      </w:r>
      <w:r>
        <w:rPr>
          <w:rFonts w:hint="eastAsia" w:ascii="仿宋_GB2312" w:eastAsia="仿宋_GB2312"/>
          <w:sz w:val="32"/>
          <w:szCs w:val="32"/>
          <w:lang w:val="en-US" w:eastAsia="zh-CN"/>
        </w:rPr>
        <w:t>本</w:t>
      </w:r>
      <w:r>
        <w:rPr>
          <w:rFonts w:hint="eastAsia" w:ascii="仿宋_GB2312" w:eastAsia="仿宋_GB2312"/>
          <w:sz w:val="32"/>
          <w:szCs w:val="32"/>
        </w:rPr>
        <w:t>年购买应急物资及帐篷</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应急灾害防治</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自治区“为民办实事”工作专项经费增加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单位本年人员增加，工资、津贴补贴、奖金等相关人员经费增加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943.75</w:t>
      </w:r>
      <w:r>
        <w:rPr>
          <w:rFonts w:hint="eastAsia" w:ascii="仿宋_GB2312" w:eastAsia="仿宋_GB2312"/>
          <w:sz w:val="32"/>
          <w:szCs w:val="32"/>
        </w:rPr>
        <w:t>万元，决算数</w:t>
      </w:r>
      <w:r>
        <w:rPr>
          <w:rFonts w:hint="eastAsia" w:ascii="仿宋_GB2312" w:eastAsia="仿宋_GB2312"/>
          <w:sz w:val="32"/>
          <w:szCs w:val="32"/>
          <w:lang w:val="zh-CN"/>
        </w:rPr>
        <w:t>841.85</w:t>
      </w:r>
      <w:r>
        <w:rPr>
          <w:rFonts w:hint="eastAsia" w:ascii="仿宋_GB2312" w:eastAsia="仿宋_GB2312"/>
          <w:sz w:val="32"/>
          <w:szCs w:val="32"/>
        </w:rPr>
        <w:t>万元，预决算差异率-10.80%，主要原因是：</w:t>
      </w:r>
      <w:r>
        <w:rPr>
          <w:rFonts w:hint="eastAsia" w:ascii="仿宋_GB2312" w:eastAsia="仿宋_GB2312"/>
          <w:sz w:val="32"/>
          <w:szCs w:val="32"/>
          <w:lang w:val="en-US" w:eastAsia="zh-CN"/>
        </w:rPr>
        <w:t>本年</w:t>
      </w:r>
      <w:r>
        <w:rPr>
          <w:rFonts w:hint="eastAsia" w:ascii="仿宋_GB2312" w:eastAsia="仿宋_GB2312"/>
          <w:sz w:val="32"/>
          <w:szCs w:val="32"/>
        </w:rPr>
        <w:t>应急管理局防汛补助项目经费</w:t>
      </w:r>
      <w:r>
        <w:rPr>
          <w:rFonts w:hint="eastAsia" w:ascii="仿宋_GB2312" w:eastAsia="仿宋_GB2312"/>
          <w:sz w:val="32"/>
          <w:szCs w:val="32"/>
          <w:lang w:eastAsia="zh-CN"/>
        </w:rPr>
        <w:t>、</w:t>
      </w:r>
      <w:r>
        <w:rPr>
          <w:rFonts w:hint="eastAsia" w:ascii="仿宋_GB2312" w:eastAsia="仿宋_GB2312"/>
          <w:sz w:val="32"/>
          <w:szCs w:val="32"/>
        </w:rPr>
        <w:t>应急管理安全生产专项</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较预算</w:t>
      </w:r>
      <w:r>
        <w:rPr>
          <w:rFonts w:hint="eastAsia" w:ascii="仿宋_GB2312" w:eastAsia="仿宋_GB2312"/>
          <w:sz w:val="32"/>
          <w:szCs w:val="32"/>
        </w:rPr>
        <w:t>减少。</w:t>
      </w:r>
    </w:p>
    <w:p w14:paraId="7EF46DB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2222C8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411D95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2023年度一般公共预算财政拨款支出841.85万元，占本年支出合计的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增加233.57万元</w:t>
      </w:r>
      <w:r>
        <w:rPr>
          <w:rFonts w:hint="eastAsia" w:ascii="仿宋_GB2312" w:eastAsia="仿宋_GB2312"/>
          <w:sz w:val="32"/>
          <w:szCs w:val="32"/>
        </w:rPr>
        <w:t>，增长38.40%,主要原因是：单位</w:t>
      </w:r>
      <w:r>
        <w:rPr>
          <w:rFonts w:hint="eastAsia" w:ascii="仿宋_GB2312" w:eastAsia="仿宋_GB2312"/>
          <w:sz w:val="32"/>
          <w:szCs w:val="32"/>
          <w:lang w:val="en-US" w:eastAsia="zh-CN"/>
        </w:rPr>
        <w:t>本</w:t>
      </w:r>
      <w:r>
        <w:rPr>
          <w:rFonts w:hint="eastAsia" w:ascii="仿宋_GB2312" w:eastAsia="仿宋_GB2312"/>
          <w:sz w:val="32"/>
          <w:szCs w:val="32"/>
        </w:rPr>
        <w:t>年购买应急物资及帐篷</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应急灾害防治</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自治区“为民办实事”工作专项经费增加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单位本年人员增加，工资、津贴补贴、奖金等相关人员经费增加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943.75</w:t>
      </w:r>
      <w:r>
        <w:rPr>
          <w:rFonts w:hint="eastAsia" w:ascii="仿宋_GB2312" w:eastAsia="仿宋_GB2312"/>
          <w:sz w:val="32"/>
          <w:szCs w:val="32"/>
        </w:rPr>
        <w:t>万元，决算数</w:t>
      </w:r>
      <w:r>
        <w:rPr>
          <w:rFonts w:hint="eastAsia" w:ascii="仿宋_GB2312" w:eastAsia="仿宋_GB2312"/>
          <w:sz w:val="32"/>
          <w:szCs w:val="32"/>
          <w:lang w:val="zh-CN"/>
        </w:rPr>
        <w:t>841.85</w:t>
      </w:r>
      <w:r>
        <w:rPr>
          <w:rFonts w:hint="eastAsia" w:ascii="仿宋_GB2312" w:eastAsia="仿宋_GB2312"/>
          <w:sz w:val="32"/>
          <w:szCs w:val="32"/>
        </w:rPr>
        <w:t>万元，预决算差异率</w:t>
      </w:r>
      <w:r>
        <w:rPr>
          <w:rFonts w:hint="eastAsia" w:ascii="仿宋_GB2312" w:eastAsia="仿宋_GB2312"/>
          <w:sz w:val="32"/>
          <w:szCs w:val="32"/>
          <w:lang w:val="zh-CN"/>
        </w:rPr>
        <w:t>-10.80%</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应急管理局防汛补助项目经费</w:t>
      </w:r>
      <w:r>
        <w:rPr>
          <w:rFonts w:hint="eastAsia" w:ascii="仿宋_GB2312" w:eastAsia="仿宋_GB2312"/>
          <w:sz w:val="32"/>
          <w:szCs w:val="32"/>
          <w:lang w:eastAsia="zh-CN"/>
        </w:rPr>
        <w:t>、</w:t>
      </w:r>
      <w:r>
        <w:rPr>
          <w:rFonts w:hint="eastAsia" w:ascii="仿宋_GB2312" w:eastAsia="仿宋_GB2312"/>
          <w:sz w:val="32"/>
          <w:szCs w:val="32"/>
        </w:rPr>
        <w:t>应急管理安全生产专项</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较预算</w:t>
      </w:r>
      <w:r>
        <w:rPr>
          <w:rFonts w:hint="eastAsia" w:ascii="仿宋_GB2312" w:eastAsia="仿宋_GB2312"/>
          <w:sz w:val="32"/>
          <w:szCs w:val="32"/>
        </w:rPr>
        <w:t>减少。</w:t>
      </w:r>
    </w:p>
    <w:p w14:paraId="6BCB598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335DA0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38.68</w:t>
      </w:r>
      <w:r>
        <w:rPr>
          <w:rFonts w:ascii="仿宋_GB2312" w:eastAsia="仿宋_GB2312"/>
          <w:kern w:val="2"/>
          <w:sz w:val="32"/>
          <w:szCs w:val="32"/>
          <w:lang w:val="zh-CN"/>
        </w:rPr>
        <w:t>万元，占</w:t>
      </w:r>
      <w:r>
        <w:rPr>
          <w:rFonts w:hint="eastAsia" w:ascii="仿宋_GB2312" w:eastAsia="仿宋_GB2312"/>
          <w:kern w:val="2"/>
          <w:sz w:val="32"/>
          <w:szCs w:val="32"/>
          <w:lang w:val="zh-CN"/>
        </w:rPr>
        <w:t>4.59</w:t>
      </w:r>
      <w:r>
        <w:rPr>
          <w:rFonts w:ascii="仿宋_GB2312" w:eastAsia="仿宋_GB2312"/>
          <w:kern w:val="2"/>
          <w:sz w:val="32"/>
          <w:szCs w:val="32"/>
          <w:lang w:val="zh-CN"/>
        </w:rPr>
        <w:t>%；</w:t>
      </w:r>
    </w:p>
    <w:p w14:paraId="73F9CD2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29.96</w:t>
      </w:r>
      <w:r>
        <w:rPr>
          <w:rFonts w:ascii="仿宋_GB2312" w:eastAsia="仿宋_GB2312"/>
          <w:kern w:val="2"/>
          <w:sz w:val="32"/>
          <w:szCs w:val="32"/>
          <w:lang w:val="zh-CN"/>
        </w:rPr>
        <w:t>万元，占</w:t>
      </w:r>
      <w:r>
        <w:rPr>
          <w:rFonts w:hint="eastAsia" w:ascii="仿宋_GB2312" w:eastAsia="仿宋_GB2312"/>
          <w:kern w:val="2"/>
          <w:sz w:val="32"/>
          <w:szCs w:val="32"/>
          <w:lang w:val="zh-CN"/>
        </w:rPr>
        <w:t>3.56</w:t>
      </w:r>
      <w:r>
        <w:rPr>
          <w:rFonts w:ascii="仿宋_GB2312" w:eastAsia="仿宋_GB2312"/>
          <w:kern w:val="2"/>
          <w:sz w:val="32"/>
          <w:szCs w:val="32"/>
          <w:lang w:val="zh-CN"/>
        </w:rPr>
        <w:t>%；</w:t>
      </w:r>
    </w:p>
    <w:p w14:paraId="51403B3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755.28</w:t>
      </w:r>
      <w:r>
        <w:rPr>
          <w:rFonts w:ascii="仿宋_GB2312" w:eastAsia="仿宋_GB2312"/>
          <w:kern w:val="2"/>
          <w:sz w:val="32"/>
          <w:szCs w:val="32"/>
          <w:lang w:val="zh-CN"/>
        </w:rPr>
        <w:t>万元，占</w:t>
      </w:r>
      <w:r>
        <w:rPr>
          <w:rFonts w:hint="eastAsia" w:ascii="仿宋_GB2312" w:eastAsia="仿宋_GB2312"/>
          <w:kern w:val="2"/>
          <w:sz w:val="32"/>
          <w:szCs w:val="32"/>
          <w:lang w:val="zh-CN"/>
        </w:rPr>
        <w:t>89.72</w:t>
      </w:r>
      <w:r>
        <w:rPr>
          <w:rFonts w:ascii="仿宋_GB2312" w:eastAsia="仿宋_GB2312"/>
          <w:kern w:val="2"/>
          <w:sz w:val="32"/>
          <w:szCs w:val="32"/>
          <w:lang w:val="zh-CN"/>
        </w:rPr>
        <w:t>%；</w:t>
      </w:r>
    </w:p>
    <w:p w14:paraId="282BA18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17.93</w:t>
      </w:r>
      <w:r>
        <w:rPr>
          <w:rFonts w:ascii="仿宋_GB2312" w:eastAsia="仿宋_GB2312"/>
          <w:kern w:val="2"/>
          <w:sz w:val="32"/>
          <w:szCs w:val="32"/>
          <w:lang w:val="zh-CN"/>
        </w:rPr>
        <w:t>万元，占</w:t>
      </w:r>
      <w:r>
        <w:rPr>
          <w:rFonts w:hint="eastAsia" w:ascii="仿宋_GB2312" w:eastAsia="仿宋_GB2312"/>
          <w:kern w:val="2"/>
          <w:sz w:val="32"/>
          <w:szCs w:val="32"/>
          <w:lang w:val="zh-CN"/>
        </w:rPr>
        <w:t>2.13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CE103B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F57B854">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1.灾害防治及应急管理支出（类）应急管理事务（款）灾害风险防治（项）:支出决算数为47.18万元，比上年决算减少26.22万元，下降35.72%，主要原因是：单位</w:t>
      </w:r>
      <w:r>
        <w:rPr>
          <w:rFonts w:hint="eastAsia" w:ascii="仿宋_GB2312" w:eastAsia="仿宋_GB2312"/>
          <w:sz w:val="32"/>
          <w:szCs w:val="32"/>
          <w:lang w:val="en-US" w:eastAsia="zh-CN"/>
        </w:rPr>
        <w:t>本</w:t>
      </w:r>
      <w:r>
        <w:rPr>
          <w:rFonts w:hint="eastAsia" w:ascii="仿宋_GB2312" w:eastAsia="仿宋_GB2312"/>
          <w:sz w:val="32"/>
          <w:szCs w:val="32"/>
        </w:rPr>
        <w:t>年应急管理局防汛补助项目经费减少。</w:t>
      </w:r>
    </w:p>
    <w:p w14:paraId="7347413C">
      <w:pPr>
        <w:ind w:firstLine="640" w:firstLineChars="200"/>
        <w:jc w:val="left"/>
        <w:rPr>
          <w:rFonts w:ascii="仿宋_GB2312" w:eastAsia="仿宋_GB2312"/>
          <w:sz w:val="32"/>
          <w:szCs w:val="32"/>
        </w:rPr>
      </w:pPr>
      <w:r>
        <w:rPr>
          <w:rFonts w:hint="eastAsia" w:ascii="仿宋_GB2312" w:eastAsia="仿宋_GB2312"/>
          <w:sz w:val="32"/>
          <w:szCs w:val="32"/>
        </w:rPr>
        <w:t>2.灾害防治及应急管理支出（类）其他灾害防治及应急管理支出（款）其他灾害防治及应急管理支出（项）:支出决算数为24.94万元，比上年决算增加24.94万元，增长100%，主要原因是：</w:t>
      </w:r>
      <w:r>
        <w:rPr>
          <w:rFonts w:hint="eastAsia" w:ascii="仿宋_GB2312" w:eastAsia="仿宋_GB2312"/>
          <w:sz w:val="32"/>
          <w:szCs w:val="32"/>
          <w:lang w:val="en-US" w:eastAsia="zh-CN"/>
        </w:rPr>
        <w:t>单位本</w:t>
      </w:r>
      <w:r>
        <w:rPr>
          <w:rFonts w:hint="eastAsia" w:ascii="仿宋_GB2312" w:eastAsia="仿宋_GB2312"/>
          <w:sz w:val="32"/>
          <w:szCs w:val="32"/>
        </w:rPr>
        <w:t>年应急灾害防治</w:t>
      </w:r>
      <w:r>
        <w:rPr>
          <w:rFonts w:hint="eastAsia" w:ascii="仿宋_GB2312" w:eastAsia="仿宋_GB2312"/>
          <w:sz w:val="32"/>
          <w:szCs w:val="32"/>
          <w:lang w:val="en-US" w:eastAsia="zh-CN"/>
        </w:rPr>
        <w:t>项目经费</w:t>
      </w:r>
      <w:r>
        <w:rPr>
          <w:rFonts w:hint="eastAsia" w:ascii="仿宋_GB2312" w:eastAsia="仿宋_GB2312"/>
          <w:sz w:val="32"/>
          <w:szCs w:val="32"/>
        </w:rPr>
        <w:t>增加。</w:t>
      </w:r>
    </w:p>
    <w:p w14:paraId="0F9E8905">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3.住房保障支出（类）住房改革支出（款）住房公积金（项）:支出决算数为29.96万元，比上年决算增加2.91万元，增长10.76%，主要原因是：本年单位人员增加，</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4FFB3FC9">
      <w:pPr>
        <w:ind w:firstLine="640" w:firstLineChars="200"/>
        <w:jc w:val="left"/>
        <w:rPr>
          <w:rFonts w:ascii="仿宋_GB2312" w:eastAsia="仿宋_GB2312"/>
          <w:sz w:val="32"/>
          <w:szCs w:val="32"/>
        </w:rPr>
      </w:pPr>
      <w:r>
        <w:rPr>
          <w:rFonts w:hint="eastAsia" w:ascii="仿宋_GB2312" w:eastAsia="仿宋_GB2312"/>
          <w:sz w:val="32"/>
          <w:szCs w:val="32"/>
        </w:rPr>
        <w:t>4.灾害防治及应急管理支出（类）应急管理事务（款）安全监管（项）:支出决算数为683.16万元，比上年决算增加341.14万元，增长99.74%，主要原因是：单位</w:t>
      </w:r>
      <w:r>
        <w:rPr>
          <w:rFonts w:hint="eastAsia" w:ascii="仿宋_GB2312" w:eastAsia="仿宋_GB2312"/>
          <w:sz w:val="32"/>
          <w:szCs w:val="32"/>
          <w:lang w:val="en-US" w:eastAsia="zh-CN"/>
        </w:rPr>
        <w:t>本</w:t>
      </w:r>
      <w:r>
        <w:rPr>
          <w:rFonts w:hint="eastAsia" w:ascii="仿宋_GB2312" w:eastAsia="仿宋_GB2312"/>
          <w:sz w:val="32"/>
          <w:szCs w:val="32"/>
        </w:rPr>
        <w:t>年购买应急物资及帐篷</w:t>
      </w:r>
      <w:r>
        <w:rPr>
          <w:rFonts w:hint="eastAsia" w:ascii="仿宋_GB2312" w:eastAsia="仿宋_GB2312"/>
          <w:sz w:val="32"/>
          <w:szCs w:val="32"/>
          <w:lang w:val="en-US" w:eastAsia="zh-CN"/>
        </w:rPr>
        <w:t>项目经费</w:t>
      </w:r>
      <w:r>
        <w:rPr>
          <w:rFonts w:hint="eastAsia" w:ascii="仿宋_GB2312" w:eastAsia="仿宋_GB2312"/>
          <w:sz w:val="32"/>
          <w:szCs w:val="32"/>
        </w:rPr>
        <w:t>增加。</w:t>
      </w:r>
    </w:p>
    <w:p w14:paraId="74CAD9FC">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5.社会保障和就业支出（类）行政事业单位养老支出（款）行政单位离退休（项）:支出决算数为0.29万元，比上年决算增加0.29万元，增长100%，主要原因是：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单位退休人员基础绩效奖</w:t>
      </w:r>
      <w:r>
        <w:rPr>
          <w:rFonts w:hint="eastAsia" w:ascii="仿宋_GB2312" w:eastAsia="仿宋_GB2312"/>
          <w:sz w:val="32"/>
          <w:szCs w:val="32"/>
          <w:lang w:val="en-US" w:eastAsia="zh-CN"/>
        </w:rPr>
        <w:t>较上年增加</w:t>
      </w:r>
      <w:r>
        <w:rPr>
          <w:rFonts w:hint="eastAsia" w:ascii="仿宋_GB2312" w:eastAsia="仿宋_GB2312"/>
          <w:sz w:val="32"/>
          <w:szCs w:val="32"/>
        </w:rPr>
        <w:t>。</w:t>
      </w:r>
    </w:p>
    <w:p w14:paraId="25197BD4">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6.其他支出（类）其他支出（款）其他支出（项）:支出决算数为17.93万元，比上年决算增加3.92万元，增长27.98%，主要原因是：2023年自治区“为民办实事”工作专项经费增加。</w:t>
      </w:r>
    </w:p>
    <w:p w14:paraId="5DB0416A">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7.社会保障和就业支出（类）行政事业单位养老支出（款）机关事业单位基本养老保险缴费支出（项）:支出决算数为38.39万元，比上年决算增加6.78万元，增长21.45%，主要原因是：单位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w:t>
      </w:r>
      <w:r>
        <w:rPr>
          <w:rFonts w:hint="eastAsia" w:ascii="仿宋_GB2312" w:eastAsia="仿宋_GB2312"/>
          <w:sz w:val="32"/>
          <w:szCs w:val="32"/>
          <w:lang w:val="en-US" w:eastAsia="zh-CN"/>
        </w:rPr>
        <w:t>人员</w:t>
      </w:r>
      <w:r>
        <w:rPr>
          <w:rFonts w:hint="eastAsia" w:ascii="仿宋_GB2312" w:eastAsia="仿宋_GB2312"/>
          <w:sz w:val="32"/>
          <w:szCs w:val="32"/>
        </w:rPr>
        <w:t>养老保险缴费增加。</w:t>
      </w:r>
    </w:p>
    <w:p w14:paraId="4DCA71B3">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8.社会保障和就业支出（类）行政事业单位养老支出（款）机关事业单位职业年金缴费支出（项）:支出决算数为0.00万元，比上年决算减少6.71万元，下降100%，主要原因是：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一次性职业年金缴费较上年减少</w:t>
      </w:r>
      <w:r>
        <w:rPr>
          <w:rFonts w:hint="eastAsia" w:ascii="仿宋_GB2312" w:eastAsia="仿宋_GB2312"/>
          <w:sz w:val="32"/>
          <w:szCs w:val="32"/>
        </w:rPr>
        <w:t>。</w:t>
      </w:r>
    </w:p>
    <w:p w14:paraId="6A78B2F8">
      <w:pPr>
        <w:ind w:firstLine="640" w:firstLineChars="200"/>
        <w:jc w:val="left"/>
        <w:rPr>
          <w:rFonts w:ascii="仿宋_GB2312" w:eastAsia="仿宋_GB2312"/>
          <w:sz w:val="32"/>
          <w:szCs w:val="32"/>
        </w:rPr>
      </w:pPr>
      <w:r>
        <w:rPr>
          <w:rFonts w:hint="eastAsia" w:ascii="仿宋_GB2312" w:eastAsia="仿宋_GB2312"/>
          <w:sz w:val="32"/>
          <w:szCs w:val="32"/>
        </w:rPr>
        <w:t>9.灾害防治及应急管理支出（类）应急管理事务（款）其他应急管理支出（项）:支出决算数为0.00万元，比上年决算减少113.48万元，下降100%，主要原因是：本年应急管理安全生产专项</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减少</w:t>
      </w:r>
      <w:r>
        <w:rPr>
          <w:rFonts w:hint="eastAsia" w:ascii="仿宋_GB2312" w:eastAsia="仿宋_GB2312"/>
          <w:sz w:val="32"/>
          <w:szCs w:val="32"/>
        </w:rPr>
        <w:t>。</w:t>
      </w:r>
    </w:p>
    <w:p w14:paraId="3376D73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12B543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264B7A49">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公用经费321.91万元，包括：办公费、水费、电费、邮电费、取暖费、差旅费、专用材料费、工会经费、公务用车运行维护费、其他交通费用</w:t>
      </w:r>
      <w:r>
        <w:rPr>
          <w:rFonts w:hint="eastAsia" w:ascii="仿宋_GB2312" w:hAnsi="宋体" w:eastAsia="仿宋_GB2312" w:cs="宋体"/>
          <w:kern w:val="0"/>
          <w:sz w:val="32"/>
          <w:szCs w:val="32"/>
        </w:rPr>
        <w:t>。</w:t>
      </w:r>
    </w:p>
    <w:p w14:paraId="389EF8F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5C3042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“三公”经费支出1.57万元，</w:t>
      </w:r>
      <w:r>
        <w:rPr>
          <w:rFonts w:hint="eastAsia" w:ascii="仿宋_GB2312" w:eastAsia="仿宋_GB2312"/>
          <w:sz w:val="32"/>
          <w:szCs w:val="32"/>
        </w:rPr>
        <w:t>比上年</w:t>
      </w:r>
      <w:r>
        <w:rPr>
          <w:rFonts w:hint="eastAsia" w:ascii="仿宋_GB2312" w:eastAsia="仿宋_GB2312"/>
          <w:sz w:val="32"/>
          <w:szCs w:val="32"/>
          <w:lang w:val="zh-CN"/>
        </w:rPr>
        <w:t>增加1.20万元，</w:t>
      </w:r>
      <w:r>
        <w:rPr>
          <w:rFonts w:hint="eastAsia" w:ascii="仿宋_GB2312" w:eastAsia="仿宋_GB2312"/>
          <w:sz w:val="32"/>
          <w:szCs w:val="32"/>
        </w:rPr>
        <w:t>增长324.32%,</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主要原因是：单位本年无此项经费；公务用车购置及运行维护费支出1.57万元，占100.00%，比上年增加1.20万元，</w:t>
      </w:r>
      <w:r>
        <w:rPr>
          <w:rFonts w:hint="eastAsia" w:ascii="仿宋_GB2312" w:eastAsia="仿宋_GB2312"/>
          <w:sz w:val="32"/>
          <w:szCs w:val="32"/>
        </w:rPr>
        <w:t>增长324.32%,</w:t>
      </w:r>
      <w:r>
        <w:rPr>
          <w:rFonts w:hint="eastAsia" w:ascii="仿宋_GB2312" w:eastAsia="仿宋_GB2312"/>
          <w:sz w:val="32"/>
          <w:szCs w:val="32"/>
          <w:lang w:val="zh-CN"/>
        </w:rPr>
        <w:t>主要原因是：车辆老化，增加车辆维护维修费、燃油费等；公务接待费支出0.00万元，占0.00%，比上年增加0.00万元，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658280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A90C9B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F9663A3">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1.57万元，其中：公务用车购置费0.00万元，公务用车运行维护费1.57万元。公务用车运行维护费开支内容包括公务用车燃油费、车辆维修维护费、保险费、过路费等。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47796A5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7F144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9" w:name="_GoBack"/>
      <w:r>
        <w:rPr>
          <w:rFonts w:hint="eastAsia" w:ascii="仿宋_GB2312" w:eastAsia="仿宋_GB2312"/>
          <w:sz w:val="32"/>
          <w:szCs w:val="32"/>
        </w:rPr>
        <w:t>,</w:t>
      </w:r>
      <w:bookmarkEnd w:id="49"/>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预算数1.57万元，决算数1.57万元，预决算差异率0.00%，主要原因是：严格按照预算执行，预决算对比无差异。其中：因公出国（境）费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预算数1.57万元，决算数1.57万元，预决算差异率0.00%，主要原因是：严格按照预算执行，预决算对比无差异；公务接待费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1DDCD0F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B4A5D7E">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EF16D9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F06D46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40F98B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5624C9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7203755">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w:t>
      </w:r>
      <w:r>
        <w:rPr>
          <w:rFonts w:hint="eastAsia" w:ascii="仿宋_GB2312" w:eastAsia="仿宋_GB2312"/>
          <w:sz w:val="32"/>
          <w:szCs w:val="32"/>
          <w:lang w:eastAsia="zh-CN"/>
        </w:rPr>
        <w:t>木垒哈萨克自治县应急管理局</w:t>
      </w:r>
      <w:r>
        <w:rPr>
          <w:rFonts w:hint="eastAsia" w:ascii="仿宋_GB2312" w:eastAsia="仿宋_GB2312"/>
          <w:sz w:val="32"/>
          <w:szCs w:val="32"/>
        </w:rPr>
        <w:t>（行政单位和参照公务员法管理事业单位）机关运行经费支出321.91万元，比上年增加210.53万元，增长189.02%，主要原因是：</w:t>
      </w:r>
      <w:r>
        <w:rPr>
          <w:rFonts w:hint="eastAsia" w:ascii="仿宋_GB2312" w:eastAsia="仿宋_GB2312"/>
          <w:sz w:val="32"/>
          <w:szCs w:val="32"/>
          <w:lang w:val="en-US" w:eastAsia="zh-CN"/>
        </w:rPr>
        <w:t>单位本年</w:t>
      </w:r>
      <w:r>
        <w:rPr>
          <w:rFonts w:hint="eastAsia" w:ascii="仿宋_GB2312" w:eastAsia="仿宋_GB2312"/>
          <w:sz w:val="32"/>
          <w:szCs w:val="32"/>
        </w:rPr>
        <w:t>办公费、取暖费、专用材料费、公务用车运行维护费增加。</w:t>
      </w:r>
    </w:p>
    <w:p w14:paraId="39F79DD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B6FBC9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2023年度政府采购支出总额362.63万元，其中：政府采购货物支出351.16万元、政府采购工程支出0.58万元、政府采购服务支出10.89万元。</w:t>
      </w:r>
    </w:p>
    <w:p w14:paraId="38A1D0A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授予中小企业合同金额312.97万元，占政府采购支出总额的86.31</w:t>
      </w:r>
      <w:r>
        <w:rPr>
          <w:rFonts w:ascii="仿宋_GB2312" w:eastAsia="仿宋_GB2312"/>
          <w:sz w:val="32"/>
          <w:szCs w:val="32"/>
        </w:rPr>
        <w:t>%</w:t>
      </w:r>
      <w:r>
        <w:rPr>
          <w:rFonts w:hint="eastAsia" w:ascii="仿宋_GB2312" w:eastAsia="仿宋_GB2312"/>
          <w:sz w:val="32"/>
          <w:szCs w:val="32"/>
        </w:rPr>
        <w:t>，其中：授予小微企业合同金额312.97万元，占政府采购支出总额的86.31</w:t>
      </w:r>
      <w:r>
        <w:rPr>
          <w:rFonts w:ascii="仿宋_GB2312" w:eastAsia="仿宋_GB2312"/>
          <w:sz w:val="32"/>
          <w:szCs w:val="32"/>
        </w:rPr>
        <w:t>%</w:t>
      </w:r>
      <w:r>
        <w:rPr>
          <w:rFonts w:hint="eastAsia" w:ascii="仿宋_GB2312" w:eastAsia="仿宋_GB2312"/>
          <w:sz w:val="32"/>
          <w:szCs w:val="32"/>
        </w:rPr>
        <w:t>。</w:t>
      </w:r>
    </w:p>
    <w:p w14:paraId="32CD951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3DE779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187.57万元，房屋0.0平方米，价值0.00万元。车辆3辆，价值67.80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eastAsia="仿宋_GB2312" w:cs="仿宋_GB2312"/>
          <w:kern w:val="0"/>
          <w:sz w:val="32"/>
          <w:szCs w:val="32"/>
          <w:lang w:val="en-US" w:eastAsia="zh-CN"/>
        </w:rPr>
        <w:t>单位业务用车</w:t>
      </w:r>
      <w:r>
        <w:rPr>
          <w:rFonts w:hint="eastAsia" w:ascii="仿宋_GB2312" w:eastAsia="仿宋_GB2312"/>
          <w:sz w:val="32"/>
          <w:szCs w:val="32"/>
        </w:rPr>
        <w:t>；单价100万元（含）以上设备（不含车辆）0台（套）。</w:t>
      </w:r>
    </w:p>
    <w:p w14:paraId="589DBD15">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66BAC71">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841.85</w:t>
      </w:r>
      <w:r>
        <w:rPr>
          <w:rFonts w:hint="eastAsia" w:ascii="仿宋_GB2312" w:eastAsia="仿宋_GB2312"/>
          <w:sz w:val="32"/>
          <w:szCs w:val="32"/>
        </w:rPr>
        <w:t>万元，实际执行总额</w:t>
      </w:r>
      <w:r>
        <w:rPr>
          <w:rFonts w:ascii="仿宋_GB2312" w:eastAsia="仿宋_GB2312"/>
          <w:sz w:val="32"/>
          <w:szCs w:val="32"/>
        </w:rPr>
        <w:t>841.85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320"/>
        <w:gridCol w:w="1297"/>
        <w:gridCol w:w="1296"/>
        <w:gridCol w:w="900"/>
        <w:gridCol w:w="1272"/>
        <w:gridCol w:w="948"/>
        <w:gridCol w:w="876"/>
        <w:gridCol w:w="613"/>
      </w:tblGrid>
      <w:tr w14:paraId="69D8574C">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BC32E69">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94DB739">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B99E0B1">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800D42E">
        <w:tblPrEx>
          <w:tblCellMar>
            <w:top w:w="0" w:type="dxa"/>
            <w:left w:w="108" w:type="dxa"/>
            <w:bottom w:w="0" w:type="dxa"/>
            <w:right w:w="108" w:type="dxa"/>
          </w:tblCellMar>
        </w:tblPrEx>
        <w:trPr>
          <w:trHeight w:val="660"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7AE624">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202" w:type="dxa"/>
            <w:gridSpan w:val="7"/>
            <w:tcBorders>
              <w:top w:val="single" w:color="auto" w:sz="4" w:space="0"/>
              <w:left w:val="nil"/>
              <w:bottom w:val="single" w:color="auto" w:sz="4" w:space="0"/>
              <w:right w:val="single" w:color="auto" w:sz="4" w:space="0"/>
            </w:tcBorders>
            <w:shd w:val="clear" w:color="auto" w:fill="auto"/>
            <w:noWrap/>
            <w:vAlign w:val="center"/>
          </w:tcPr>
          <w:p w14:paraId="16DBC427">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w:t>
            </w:r>
          </w:p>
        </w:tc>
      </w:tr>
      <w:tr w14:paraId="0CA42466">
        <w:tblPrEx>
          <w:tblCellMar>
            <w:top w:w="0" w:type="dxa"/>
            <w:left w:w="108" w:type="dxa"/>
            <w:bottom w:w="0" w:type="dxa"/>
            <w:right w:w="108" w:type="dxa"/>
          </w:tblCellMar>
        </w:tblPrEx>
        <w:trPr>
          <w:trHeight w:val="570"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D88B2E">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297" w:type="dxa"/>
            <w:tcBorders>
              <w:top w:val="nil"/>
              <w:left w:val="nil"/>
              <w:bottom w:val="single" w:color="auto" w:sz="4" w:space="0"/>
              <w:right w:val="single" w:color="auto" w:sz="4" w:space="0"/>
            </w:tcBorders>
            <w:shd w:val="clear" w:color="auto" w:fill="auto"/>
            <w:vAlign w:val="center"/>
          </w:tcPr>
          <w:p w14:paraId="68602C77">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96" w:type="dxa"/>
            <w:tcBorders>
              <w:top w:val="nil"/>
              <w:left w:val="nil"/>
              <w:bottom w:val="single" w:color="auto" w:sz="4" w:space="0"/>
              <w:right w:val="single" w:color="auto" w:sz="4" w:space="0"/>
            </w:tcBorders>
            <w:shd w:val="clear" w:color="auto" w:fill="auto"/>
            <w:vAlign w:val="center"/>
          </w:tcPr>
          <w:p w14:paraId="4C96B96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00" w:type="dxa"/>
            <w:tcBorders>
              <w:top w:val="nil"/>
              <w:left w:val="nil"/>
              <w:bottom w:val="single" w:color="auto" w:sz="4" w:space="0"/>
              <w:right w:val="single" w:color="auto" w:sz="4" w:space="0"/>
            </w:tcBorders>
            <w:shd w:val="clear" w:color="auto" w:fill="auto"/>
            <w:vAlign w:val="center"/>
          </w:tcPr>
          <w:p w14:paraId="4D52AA82">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72" w:type="dxa"/>
            <w:tcBorders>
              <w:top w:val="nil"/>
              <w:left w:val="nil"/>
              <w:bottom w:val="single" w:color="auto" w:sz="4" w:space="0"/>
              <w:right w:val="single" w:color="auto" w:sz="4" w:space="0"/>
            </w:tcBorders>
            <w:shd w:val="clear" w:color="auto" w:fill="auto"/>
            <w:vAlign w:val="center"/>
          </w:tcPr>
          <w:p w14:paraId="7764291F">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8" w:type="dxa"/>
            <w:tcBorders>
              <w:top w:val="nil"/>
              <w:left w:val="nil"/>
              <w:bottom w:val="single" w:color="auto" w:sz="4" w:space="0"/>
              <w:right w:val="single" w:color="auto" w:sz="4" w:space="0"/>
            </w:tcBorders>
            <w:shd w:val="clear" w:color="auto" w:fill="auto"/>
            <w:vAlign w:val="center"/>
          </w:tcPr>
          <w:p w14:paraId="588A79AE">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536AE5F2">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3" w:type="dxa"/>
            <w:tcBorders>
              <w:top w:val="nil"/>
              <w:left w:val="nil"/>
              <w:bottom w:val="single" w:color="auto" w:sz="4" w:space="0"/>
              <w:right w:val="single" w:color="auto" w:sz="4" w:space="0"/>
            </w:tcBorders>
            <w:shd w:val="clear" w:color="auto" w:fill="auto"/>
            <w:vAlign w:val="center"/>
          </w:tcPr>
          <w:p w14:paraId="470457A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69F2ABB">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10151867">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noWrap/>
            <w:vAlign w:val="center"/>
          </w:tcPr>
          <w:p w14:paraId="1455D580">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96" w:type="dxa"/>
            <w:tcBorders>
              <w:top w:val="nil"/>
              <w:left w:val="nil"/>
              <w:bottom w:val="single" w:color="auto" w:sz="4" w:space="0"/>
              <w:right w:val="single" w:color="auto" w:sz="4" w:space="0"/>
            </w:tcBorders>
            <w:shd w:val="clear" w:color="auto" w:fill="auto"/>
            <w:vAlign w:val="center"/>
          </w:tcPr>
          <w:p w14:paraId="3BEC5E2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75E5B38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0825DB7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2F61941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4D7AF5B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3" w:type="dxa"/>
            <w:tcBorders>
              <w:top w:val="nil"/>
              <w:left w:val="nil"/>
              <w:bottom w:val="single" w:color="auto" w:sz="4" w:space="0"/>
              <w:right w:val="single" w:color="auto" w:sz="4" w:space="0"/>
            </w:tcBorders>
            <w:shd w:val="clear" w:color="auto" w:fill="auto"/>
            <w:vAlign w:val="center"/>
          </w:tcPr>
          <w:p w14:paraId="01326D7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F8444C2">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3370501">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10C7B7C3">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96" w:type="dxa"/>
            <w:tcBorders>
              <w:top w:val="nil"/>
              <w:left w:val="nil"/>
              <w:bottom w:val="single" w:color="auto" w:sz="4" w:space="0"/>
              <w:right w:val="single" w:color="auto" w:sz="4" w:space="0"/>
            </w:tcBorders>
            <w:shd w:val="clear" w:color="auto" w:fill="auto"/>
            <w:vAlign w:val="center"/>
          </w:tcPr>
          <w:p w14:paraId="58E1777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5CB0D43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06CA9BE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25CA9B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68CD55E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2865413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724932A">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04E9587">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01CB27BA">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96" w:type="dxa"/>
            <w:tcBorders>
              <w:top w:val="nil"/>
              <w:left w:val="nil"/>
              <w:bottom w:val="single" w:color="auto" w:sz="4" w:space="0"/>
              <w:right w:val="single" w:color="auto" w:sz="4" w:space="0"/>
            </w:tcBorders>
            <w:shd w:val="clear" w:color="auto" w:fill="auto"/>
            <w:vAlign w:val="center"/>
          </w:tcPr>
          <w:p w14:paraId="69BFA93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78CB87F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332CB9B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55DCB1E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0EA2261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7D9C102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B416B05">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012E9AC9">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73F4D367">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96" w:type="dxa"/>
            <w:tcBorders>
              <w:top w:val="nil"/>
              <w:left w:val="nil"/>
              <w:bottom w:val="single" w:color="auto" w:sz="4" w:space="0"/>
              <w:right w:val="single" w:color="auto" w:sz="4" w:space="0"/>
            </w:tcBorders>
            <w:shd w:val="clear" w:color="auto" w:fill="auto"/>
            <w:vAlign w:val="center"/>
          </w:tcPr>
          <w:p w14:paraId="125F1414">
            <w:pPr>
              <w:widowControl/>
              <w:jc w:val="center"/>
              <w:rPr>
                <w:rFonts w:hint="eastAsia" w:ascii="宋体" w:hAnsi="宋体" w:cs="宋体"/>
                <w:kern w:val="0"/>
                <w:sz w:val="20"/>
                <w:szCs w:val="20"/>
              </w:rPr>
            </w:pPr>
            <w:r>
              <w:rPr>
                <w:rFonts w:hint="eastAsia" w:ascii="宋体" w:hAnsi="宋体" w:cs="宋体"/>
                <w:kern w:val="0"/>
                <w:sz w:val="20"/>
                <w:szCs w:val="20"/>
              </w:rPr>
              <w:t>943.75</w:t>
            </w:r>
          </w:p>
        </w:tc>
        <w:tc>
          <w:tcPr>
            <w:tcW w:w="900" w:type="dxa"/>
            <w:tcBorders>
              <w:top w:val="nil"/>
              <w:left w:val="nil"/>
              <w:bottom w:val="single" w:color="auto" w:sz="4" w:space="0"/>
              <w:right w:val="single" w:color="auto" w:sz="4" w:space="0"/>
            </w:tcBorders>
            <w:shd w:val="clear" w:color="auto" w:fill="auto"/>
            <w:vAlign w:val="center"/>
          </w:tcPr>
          <w:p w14:paraId="6491F371">
            <w:pPr>
              <w:widowControl/>
              <w:jc w:val="center"/>
              <w:rPr>
                <w:rFonts w:hint="eastAsia" w:ascii="宋体" w:hAnsi="宋体" w:cs="宋体"/>
                <w:kern w:val="0"/>
                <w:sz w:val="20"/>
                <w:szCs w:val="20"/>
              </w:rPr>
            </w:pPr>
            <w:bookmarkStart w:id="30" w:name="_Hlk174886378"/>
            <w:r>
              <w:rPr>
                <w:rFonts w:hint="eastAsia" w:ascii="宋体" w:hAnsi="宋体" w:cs="宋体"/>
                <w:kern w:val="0"/>
                <w:sz w:val="20"/>
                <w:szCs w:val="20"/>
              </w:rPr>
              <w:t>841.85</w:t>
            </w:r>
            <w:bookmarkEnd w:id="30"/>
          </w:p>
        </w:tc>
        <w:tc>
          <w:tcPr>
            <w:tcW w:w="1272" w:type="dxa"/>
            <w:tcBorders>
              <w:top w:val="nil"/>
              <w:left w:val="nil"/>
              <w:bottom w:val="single" w:color="auto" w:sz="4" w:space="0"/>
              <w:right w:val="single" w:color="auto" w:sz="4" w:space="0"/>
            </w:tcBorders>
            <w:shd w:val="clear" w:color="auto" w:fill="auto"/>
            <w:vAlign w:val="center"/>
          </w:tcPr>
          <w:p w14:paraId="4E352E63">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948" w:type="dxa"/>
            <w:tcBorders>
              <w:top w:val="nil"/>
              <w:left w:val="nil"/>
              <w:bottom w:val="single" w:color="auto" w:sz="4" w:space="0"/>
              <w:right w:val="single" w:color="auto" w:sz="4" w:space="0"/>
            </w:tcBorders>
            <w:shd w:val="clear" w:color="auto" w:fill="auto"/>
            <w:vAlign w:val="center"/>
          </w:tcPr>
          <w:p w14:paraId="69415AD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0B47B4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58E02D9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E93D2E">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07B37A02">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0B5C5461">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96" w:type="dxa"/>
            <w:tcBorders>
              <w:top w:val="nil"/>
              <w:left w:val="nil"/>
              <w:bottom w:val="single" w:color="auto" w:sz="4" w:space="0"/>
              <w:right w:val="single" w:color="auto" w:sz="4" w:space="0"/>
            </w:tcBorders>
            <w:shd w:val="clear" w:color="auto" w:fill="auto"/>
            <w:vAlign w:val="center"/>
          </w:tcPr>
          <w:p w14:paraId="701DC2C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40C77A8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72" w:type="dxa"/>
            <w:tcBorders>
              <w:top w:val="nil"/>
              <w:left w:val="nil"/>
              <w:bottom w:val="single" w:color="auto" w:sz="4" w:space="0"/>
              <w:right w:val="single" w:color="auto" w:sz="4" w:space="0"/>
            </w:tcBorders>
            <w:shd w:val="clear" w:color="auto" w:fill="auto"/>
            <w:vAlign w:val="center"/>
          </w:tcPr>
          <w:p w14:paraId="3FB48C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8" w:type="dxa"/>
            <w:tcBorders>
              <w:top w:val="nil"/>
              <w:left w:val="nil"/>
              <w:bottom w:val="single" w:color="auto" w:sz="4" w:space="0"/>
              <w:right w:val="single" w:color="auto" w:sz="4" w:space="0"/>
            </w:tcBorders>
            <w:shd w:val="clear" w:color="auto" w:fill="auto"/>
            <w:vAlign w:val="center"/>
          </w:tcPr>
          <w:p w14:paraId="0C847C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51ACA73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6797B43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662BCC5">
        <w:tblPrEx>
          <w:tblCellMar>
            <w:top w:w="0" w:type="dxa"/>
            <w:left w:w="108" w:type="dxa"/>
            <w:bottom w:w="0" w:type="dxa"/>
            <w:right w:w="108" w:type="dxa"/>
          </w:tblCellMar>
        </w:tblPrEx>
        <w:trPr>
          <w:trHeight w:val="879"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BDCE514">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vAlign w:val="center"/>
          </w:tcPr>
          <w:p w14:paraId="544D0229">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96" w:type="dxa"/>
            <w:tcBorders>
              <w:top w:val="nil"/>
              <w:left w:val="nil"/>
              <w:bottom w:val="single" w:color="auto" w:sz="4" w:space="0"/>
              <w:right w:val="single" w:color="auto" w:sz="4" w:space="0"/>
            </w:tcBorders>
            <w:shd w:val="clear" w:color="auto" w:fill="auto"/>
            <w:vAlign w:val="center"/>
          </w:tcPr>
          <w:p w14:paraId="2958CD31">
            <w:pPr>
              <w:widowControl/>
              <w:jc w:val="center"/>
              <w:rPr>
                <w:rFonts w:hint="eastAsia" w:ascii="宋体" w:hAnsi="宋体" w:cs="宋体"/>
                <w:kern w:val="0"/>
                <w:sz w:val="20"/>
                <w:szCs w:val="20"/>
              </w:rPr>
            </w:pPr>
            <w:r>
              <w:rPr>
                <w:rFonts w:hint="eastAsia" w:ascii="宋体" w:hAnsi="宋体" w:cs="宋体"/>
                <w:kern w:val="0"/>
                <w:sz w:val="20"/>
                <w:szCs w:val="20"/>
              </w:rPr>
              <w:t>943.75</w:t>
            </w:r>
          </w:p>
        </w:tc>
        <w:tc>
          <w:tcPr>
            <w:tcW w:w="900" w:type="dxa"/>
            <w:tcBorders>
              <w:top w:val="nil"/>
              <w:left w:val="nil"/>
              <w:bottom w:val="single" w:color="auto" w:sz="4" w:space="0"/>
              <w:right w:val="single" w:color="auto" w:sz="4" w:space="0"/>
            </w:tcBorders>
            <w:shd w:val="clear" w:color="auto" w:fill="auto"/>
            <w:vAlign w:val="center"/>
          </w:tcPr>
          <w:p w14:paraId="4EC492AA">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1272" w:type="dxa"/>
            <w:tcBorders>
              <w:top w:val="nil"/>
              <w:left w:val="nil"/>
              <w:bottom w:val="single" w:color="auto" w:sz="4" w:space="0"/>
              <w:right w:val="single" w:color="auto" w:sz="4" w:space="0"/>
            </w:tcBorders>
            <w:shd w:val="clear" w:color="auto" w:fill="auto"/>
            <w:vAlign w:val="center"/>
          </w:tcPr>
          <w:p w14:paraId="663B50A2">
            <w:pPr>
              <w:widowControl/>
              <w:jc w:val="center"/>
              <w:rPr>
                <w:rFonts w:hint="eastAsia" w:ascii="宋体" w:hAnsi="宋体" w:cs="宋体"/>
                <w:kern w:val="0"/>
                <w:sz w:val="20"/>
                <w:szCs w:val="20"/>
              </w:rPr>
            </w:pPr>
            <w:r>
              <w:rPr>
                <w:rFonts w:hint="eastAsia" w:ascii="宋体" w:hAnsi="宋体" w:cs="宋体"/>
                <w:kern w:val="0"/>
                <w:sz w:val="20"/>
                <w:szCs w:val="20"/>
              </w:rPr>
              <w:t>841.85</w:t>
            </w:r>
          </w:p>
        </w:tc>
        <w:tc>
          <w:tcPr>
            <w:tcW w:w="948" w:type="dxa"/>
            <w:tcBorders>
              <w:top w:val="nil"/>
              <w:left w:val="nil"/>
              <w:bottom w:val="single" w:color="auto" w:sz="4" w:space="0"/>
              <w:right w:val="single" w:color="auto" w:sz="4" w:space="0"/>
            </w:tcBorders>
            <w:shd w:val="clear" w:color="auto" w:fill="auto"/>
            <w:vAlign w:val="center"/>
          </w:tcPr>
          <w:p w14:paraId="0C913EA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76" w:type="dxa"/>
            <w:tcBorders>
              <w:top w:val="nil"/>
              <w:left w:val="nil"/>
              <w:bottom w:val="single" w:color="auto" w:sz="4" w:space="0"/>
              <w:right w:val="single" w:color="auto" w:sz="4" w:space="0"/>
            </w:tcBorders>
            <w:shd w:val="clear" w:color="auto" w:fill="auto"/>
            <w:vAlign w:val="center"/>
          </w:tcPr>
          <w:p w14:paraId="3B1C6FE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3" w:type="dxa"/>
            <w:tcBorders>
              <w:top w:val="nil"/>
              <w:left w:val="nil"/>
              <w:bottom w:val="single" w:color="auto" w:sz="4" w:space="0"/>
              <w:right w:val="single" w:color="auto" w:sz="4" w:space="0"/>
            </w:tcBorders>
            <w:shd w:val="clear" w:color="auto" w:fill="auto"/>
            <w:vAlign w:val="center"/>
          </w:tcPr>
          <w:p w14:paraId="4CFE648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AC36E9F">
        <w:tblPrEx>
          <w:tblCellMar>
            <w:top w:w="0" w:type="dxa"/>
            <w:left w:w="108" w:type="dxa"/>
            <w:bottom w:w="0" w:type="dxa"/>
            <w:right w:w="108" w:type="dxa"/>
          </w:tblCellMar>
        </w:tblPrEx>
        <w:trPr>
          <w:trHeight w:val="705"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F0C0D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93" w:type="dxa"/>
            <w:gridSpan w:val="3"/>
            <w:tcBorders>
              <w:top w:val="single" w:color="auto" w:sz="4" w:space="0"/>
              <w:left w:val="nil"/>
              <w:bottom w:val="single" w:color="auto" w:sz="4" w:space="0"/>
              <w:right w:val="single" w:color="auto" w:sz="4" w:space="0"/>
            </w:tcBorders>
            <w:shd w:val="clear" w:color="auto" w:fill="auto"/>
            <w:noWrap/>
            <w:vAlign w:val="center"/>
          </w:tcPr>
          <w:p w14:paraId="4322A177">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09" w:type="dxa"/>
            <w:gridSpan w:val="4"/>
            <w:tcBorders>
              <w:top w:val="single" w:color="auto" w:sz="4" w:space="0"/>
              <w:left w:val="nil"/>
              <w:bottom w:val="single" w:color="auto" w:sz="4" w:space="0"/>
              <w:right w:val="single" w:color="auto" w:sz="4" w:space="0"/>
            </w:tcBorders>
            <w:shd w:val="clear" w:color="auto" w:fill="auto"/>
            <w:noWrap/>
            <w:vAlign w:val="center"/>
          </w:tcPr>
          <w:p w14:paraId="22993643">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E1684F1">
        <w:tblPrEx>
          <w:tblCellMar>
            <w:top w:w="0" w:type="dxa"/>
            <w:left w:w="108" w:type="dxa"/>
            <w:bottom w:w="0" w:type="dxa"/>
            <w:right w:w="108" w:type="dxa"/>
          </w:tblCellMar>
        </w:tblPrEx>
        <w:trPr>
          <w:trHeight w:val="200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6677B223">
            <w:pPr>
              <w:widowControl/>
              <w:jc w:val="left"/>
              <w:rPr>
                <w:rFonts w:hint="eastAsia" w:ascii="宋体" w:hAnsi="宋体" w:cs="宋体"/>
                <w:kern w:val="0"/>
                <w:sz w:val="20"/>
                <w:szCs w:val="20"/>
              </w:rPr>
            </w:pPr>
          </w:p>
        </w:tc>
        <w:tc>
          <w:tcPr>
            <w:tcW w:w="3493" w:type="dxa"/>
            <w:gridSpan w:val="3"/>
            <w:tcBorders>
              <w:top w:val="single" w:color="auto" w:sz="4" w:space="0"/>
              <w:left w:val="nil"/>
              <w:bottom w:val="single" w:color="auto" w:sz="4" w:space="0"/>
              <w:right w:val="single" w:color="auto" w:sz="4" w:space="0"/>
            </w:tcBorders>
            <w:shd w:val="clear" w:color="auto" w:fill="auto"/>
            <w:vAlign w:val="center"/>
          </w:tcPr>
          <w:p w14:paraId="18F9C388">
            <w:pPr>
              <w:widowControl/>
              <w:jc w:val="center"/>
              <w:rPr>
                <w:rFonts w:hint="eastAsia" w:ascii="宋体" w:hAnsi="宋体" w:cs="宋体"/>
                <w:kern w:val="0"/>
                <w:sz w:val="20"/>
                <w:szCs w:val="20"/>
              </w:rPr>
            </w:pPr>
            <w:r>
              <w:rPr>
                <w:rFonts w:hint="eastAsia" w:ascii="宋体" w:hAnsi="宋体" w:cs="宋体"/>
                <w:kern w:val="0"/>
                <w:sz w:val="20"/>
                <w:szCs w:val="20"/>
              </w:rPr>
              <w:t>目标1：维持单位正常运转，购置办公用品、耗材等。</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color="auto" w:sz="4" w:space="0"/>
              <w:left w:val="nil"/>
              <w:bottom w:val="single" w:color="auto" w:sz="4" w:space="0"/>
              <w:right w:val="single" w:color="auto" w:sz="4" w:space="0"/>
            </w:tcBorders>
            <w:shd w:val="clear" w:color="auto" w:fill="auto"/>
            <w:vAlign w:val="center"/>
          </w:tcPr>
          <w:p w14:paraId="40CEF194">
            <w:pPr>
              <w:widowControl/>
              <w:jc w:val="center"/>
              <w:rPr>
                <w:rFonts w:hint="eastAsia" w:ascii="宋体" w:hAnsi="宋体" w:cs="宋体"/>
                <w:kern w:val="0"/>
                <w:sz w:val="20"/>
                <w:szCs w:val="20"/>
              </w:rPr>
            </w:pPr>
            <w:r>
              <w:rPr>
                <w:rFonts w:hint="eastAsia" w:ascii="宋体" w:hAnsi="宋体" w:cs="宋体"/>
                <w:kern w:val="0"/>
                <w:sz w:val="20"/>
                <w:szCs w:val="20"/>
              </w:rPr>
              <w:t>截</w:t>
            </w:r>
            <w:r>
              <w:rPr>
                <w:rFonts w:hint="eastAsia" w:ascii="宋体" w:hAnsi="宋体" w:cs="宋体"/>
                <w:kern w:val="0"/>
                <w:sz w:val="20"/>
                <w:szCs w:val="20"/>
                <w:lang w:eastAsia="zh-CN"/>
              </w:rPr>
              <w:t>至</w:t>
            </w:r>
            <w:r>
              <w:rPr>
                <w:rFonts w:hint="eastAsia" w:ascii="宋体" w:hAnsi="宋体" w:cs="宋体"/>
                <w:kern w:val="0"/>
                <w:sz w:val="20"/>
                <w:szCs w:val="20"/>
              </w:rPr>
              <w:t>部门整体自评，我单位已完成如下工作：保障办公人员数量26人，房屋建筑物供暖面积146平方米，公务保障用车数量3辆。坚持以习近平新时代中国特色社会主义思想为指导，深入学习贯彻落实习近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14:paraId="1ADADCDF">
        <w:tblPrEx>
          <w:tblCellMar>
            <w:top w:w="0" w:type="dxa"/>
            <w:left w:w="108" w:type="dxa"/>
            <w:bottom w:w="0" w:type="dxa"/>
            <w:right w:w="108" w:type="dxa"/>
          </w:tblCellMar>
        </w:tblPrEx>
        <w:trPr>
          <w:trHeight w:val="579"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14:paraId="20F70B0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297" w:type="dxa"/>
            <w:tcBorders>
              <w:top w:val="nil"/>
              <w:left w:val="nil"/>
              <w:bottom w:val="single" w:color="auto" w:sz="4" w:space="0"/>
              <w:right w:val="single" w:color="auto" w:sz="4" w:space="0"/>
            </w:tcBorders>
            <w:shd w:val="clear" w:color="auto" w:fill="auto"/>
            <w:vAlign w:val="center"/>
          </w:tcPr>
          <w:p w14:paraId="406E366D">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96" w:type="dxa"/>
            <w:tcBorders>
              <w:top w:val="nil"/>
              <w:left w:val="nil"/>
              <w:bottom w:val="single" w:color="auto" w:sz="4" w:space="0"/>
              <w:right w:val="single" w:color="auto" w:sz="4" w:space="0"/>
            </w:tcBorders>
            <w:shd w:val="clear" w:color="auto" w:fill="auto"/>
            <w:vAlign w:val="center"/>
          </w:tcPr>
          <w:p w14:paraId="5F2AC03F">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00" w:type="dxa"/>
            <w:tcBorders>
              <w:top w:val="nil"/>
              <w:left w:val="nil"/>
              <w:bottom w:val="single" w:color="auto" w:sz="4" w:space="0"/>
              <w:right w:val="single" w:color="auto" w:sz="4" w:space="0"/>
            </w:tcBorders>
            <w:shd w:val="clear" w:color="auto" w:fill="auto"/>
            <w:vAlign w:val="center"/>
          </w:tcPr>
          <w:p w14:paraId="061E2A20">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72" w:type="dxa"/>
            <w:tcBorders>
              <w:top w:val="nil"/>
              <w:left w:val="nil"/>
              <w:bottom w:val="single" w:color="auto" w:sz="4" w:space="0"/>
              <w:right w:val="single" w:color="auto" w:sz="4" w:space="0"/>
            </w:tcBorders>
            <w:shd w:val="clear" w:color="auto" w:fill="auto"/>
            <w:vAlign w:val="center"/>
          </w:tcPr>
          <w:p w14:paraId="4E42BD0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8" w:type="dxa"/>
            <w:tcBorders>
              <w:top w:val="nil"/>
              <w:left w:val="nil"/>
              <w:bottom w:val="single" w:color="auto" w:sz="4" w:space="0"/>
              <w:right w:val="single" w:color="auto" w:sz="4" w:space="0"/>
            </w:tcBorders>
            <w:shd w:val="clear" w:color="auto" w:fill="auto"/>
            <w:vAlign w:val="center"/>
          </w:tcPr>
          <w:p w14:paraId="715B9B1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76" w:type="dxa"/>
            <w:tcBorders>
              <w:top w:val="nil"/>
              <w:left w:val="nil"/>
              <w:bottom w:val="single" w:color="auto" w:sz="4" w:space="0"/>
              <w:right w:val="single" w:color="auto" w:sz="4" w:space="0"/>
            </w:tcBorders>
            <w:shd w:val="clear" w:color="auto" w:fill="auto"/>
            <w:vAlign w:val="center"/>
          </w:tcPr>
          <w:p w14:paraId="625A0631">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3" w:type="dxa"/>
            <w:tcBorders>
              <w:top w:val="nil"/>
              <w:left w:val="nil"/>
              <w:bottom w:val="single" w:color="auto" w:sz="4" w:space="0"/>
              <w:right w:val="single" w:color="auto" w:sz="4" w:space="0"/>
            </w:tcBorders>
            <w:shd w:val="clear" w:color="auto" w:fill="auto"/>
            <w:vAlign w:val="center"/>
          </w:tcPr>
          <w:p w14:paraId="32AC663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325C9A5">
        <w:tblPrEx>
          <w:tblCellMar>
            <w:top w:w="0" w:type="dxa"/>
            <w:left w:w="108" w:type="dxa"/>
            <w:bottom w:w="0" w:type="dxa"/>
            <w:right w:w="108" w:type="dxa"/>
          </w:tblCellMar>
        </w:tblPrEx>
        <w:trPr>
          <w:trHeight w:val="741"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581F04">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297" w:type="dxa"/>
            <w:vMerge w:val="restart"/>
            <w:tcBorders>
              <w:top w:val="nil"/>
              <w:left w:val="single" w:color="auto" w:sz="4" w:space="0"/>
              <w:bottom w:val="single" w:color="auto" w:sz="4" w:space="0"/>
              <w:right w:val="single" w:color="auto" w:sz="4" w:space="0"/>
            </w:tcBorders>
            <w:shd w:val="clear" w:color="auto" w:fill="auto"/>
            <w:vAlign w:val="center"/>
          </w:tcPr>
          <w:p w14:paraId="24AACBA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96" w:type="dxa"/>
            <w:tcBorders>
              <w:top w:val="nil"/>
              <w:left w:val="nil"/>
              <w:bottom w:val="single" w:color="auto" w:sz="4" w:space="0"/>
              <w:right w:val="single" w:color="auto" w:sz="4" w:space="0"/>
            </w:tcBorders>
            <w:shd w:val="clear" w:color="auto" w:fill="auto"/>
            <w:vAlign w:val="center"/>
          </w:tcPr>
          <w:p w14:paraId="4753680F">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900" w:type="dxa"/>
            <w:tcBorders>
              <w:top w:val="nil"/>
              <w:left w:val="nil"/>
              <w:bottom w:val="single" w:color="auto" w:sz="4" w:space="0"/>
              <w:right w:val="single" w:color="auto" w:sz="4" w:space="0"/>
            </w:tcBorders>
            <w:shd w:val="clear" w:color="auto" w:fill="auto"/>
            <w:vAlign w:val="center"/>
          </w:tcPr>
          <w:p w14:paraId="65CBEF99">
            <w:pPr>
              <w:widowControl/>
              <w:jc w:val="center"/>
              <w:rPr>
                <w:rFonts w:hint="eastAsia" w:ascii="宋体" w:hAnsi="宋体" w:cs="宋体"/>
                <w:kern w:val="0"/>
                <w:sz w:val="20"/>
                <w:szCs w:val="20"/>
              </w:rPr>
            </w:pPr>
            <w:r>
              <w:rPr>
                <w:rFonts w:hint="eastAsia" w:ascii="宋体" w:hAnsi="宋体" w:cs="宋体"/>
                <w:kern w:val="0"/>
                <w:sz w:val="20"/>
                <w:szCs w:val="20"/>
              </w:rPr>
              <w:t>&gt;=23人</w:t>
            </w:r>
          </w:p>
        </w:tc>
        <w:tc>
          <w:tcPr>
            <w:tcW w:w="1272" w:type="dxa"/>
            <w:tcBorders>
              <w:top w:val="nil"/>
              <w:left w:val="nil"/>
              <w:bottom w:val="single" w:color="auto" w:sz="4" w:space="0"/>
              <w:right w:val="single" w:color="auto" w:sz="4" w:space="0"/>
            </w:tcBorders>
            <w:shd w:val="clear" w:color="auto" w:fill="auto"/>
            <w:vAlign w:val="center"/>
          </w:tcPr>
          <w:p w14:paraId="5BB3ACDA">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948" w:type="dxa"/>
            <w:tcBorders>
              <w:top w:val="nil"/>
              <w:left w:val="nil"/>
              <w:bottom w:val="single" w:color="auto" w:sz="4" w:space="0"/>
              <w:right w:val="single" w:color="auto" w:sz="4" w:space="0"/>
            </w:tcBorders>
            <w:shd w:val="clear" w:color="auto" w:fill="auto"/>
            <w:vAlign w:val="center"/>
          </w:tcPr>
          <w:p w14:paraId="16FB131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876" w:type="dxa"/>
            <w:tcBorders>
              <w:top w:val="nil"/>
              <w:left w:val="nil"/>
              <w:bottom w:val="single" w:color="auto" w:sz="4" w:space="0"/>
              <w:right w:val="single" w:color="auto" w:sz="4" w:space="0"/>
            </w:tcBorders>
            <w:shd w:val="clear" w:color="auto" w:fill="auto"/>
            <w:vAlign w:val="center"/>
          </w:tcPr>
          <w:p w14:paraId="391848C6">
            <w:pPr>
              <w:widowControl/>
              <w:jc w:val="center"/>
              <w:rPr>
                <w:rFonts w:hint="eastAsia" w:ascii="宋体" w:hAnsi="宋体" w:cs="宋体"/>
                <w:kern w:val="0"/>
                <w:sz w:val="20"/>
                <w:szCs w:val="20"/>
              </w:rPr>
            </w:pPr>
            <w:r>
              <w:rPr>
                <w:rFonts w:hint="eastAsia" w:ascii="宋体" w:hAnsi="宋体" w:cs="宋体"/>
                <w:kern w:val="0"/>
                <w:sz w:val="20"/>
                <w:szCs w:val="20"/>
              </w:rPr>
              <w:t>=26人</w:t>
            </w:r>
          </w:p>
        </w:tc>
        <w:tc>
          <w:tcPr>
            <w:tcW w:w="613" w:type="dxa"/>
            <w:tcBorders>
              <w:top w:val="nil"/>
              <w:left w:val="nil"/>
              <w:bottom w:val="single" w:color="auto" w:sz="4" w:space="0"/>
              <w:right w:val="single" w:color="auto" w:sz="4" w:space="0"/>
            </w:tcBorders>
            <w:shd w:val="clear" w:color="auto" w:fill="auto"/>
            <w:vAlign w:val="center"/>
          </w:tcPr>
          <w:p w14:paraId="73ACB196">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EF830E7">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1BB5860D">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1DE462A9">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DA9C13D">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900" w:type="dxa"/>
            <w:tcBorders>
              <w:top w:val="nil"/>
              <w:left w:val="nil"/>
              <w:bottom w:val="single" w:color="auto" w:sz="4" w:space="0"/>
              <w:right w:val="single" w:color="auto" w:sz="4" w:space="0"/>
            </w:tcBorders>
            <w:shd w:val="clear" w:color="auto" w:fill="auto"/>
            <w:vAlign w:val="center"/>
          </w:tcPr>
          <w:p w14:paraId="546724D0">
            <w:pPr>
              <w:widowControl/>
              <w:jc w:val="center"/>
              <w:rPr>
                <w:rFonts w:hint="eastAsia" w:ascii="宋体" w:hAnsi="宋体" w:cs="宋体"/>
                <w:kern w:val="0"/>
                <w:sz w:val="20"/>
                <w:szCs w:val="20"/>
              </w:rPr>
            </w:pPr>
            <w:r>
              <w:rPr>
                <w:rFonts w:hint="eastAsia" w:ascii="宋体" w:hAnsi="宋体" w:cs="宋体"/>
                <w:kern w:val="0"/>
                <w:sz w:val="20"/>
                <w:szCs w:val="20"/>
              </w:rPr>
              <w:t>&gt;=146平方米</w:t>
            </w:r>
          </w:p>
        </w:tc>
        <w:tc>
          <w:tcPr>
            <w:tcW w:w="1272" w:type="dxa"/>
            <w:tcBorders>
              <w:top w:val="nil"/>
              <w:left w:val="nil"/>
              <w:bottom w:val="single" w:color="auto" w:sz="4" w:space="0"/>
              <w:right w:val="single" w:color="auto" w:sz="4" w:space="0"/>
            </w:tcBorders>
            <w:shd w:val="clear" w:color="auto" w:fill="auto"/>
            <w:vAlign w:val="center"/>
          </w:tcPr>
          <w:p w14:paraId="13FC2FBC">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948" w:type="dxa"/>
            <w:tcBorders>
              <w:top w:val="nil"/>
              <w:left w:val="nil"/>
              <w:bottom w:val="single" w:color="auto" w:sz="4" w:space="0"/>
              <w:right w:val="single" w:color="auto" w:sz="4" w:space="0"/>
            </w:tcBorders>
            <w:shd w:val="clear" w:color="auto" w:fill="auto"/>
            <w:vAlign w:val="center"/>
          </w:tcPr>
          <w:p w14:paraId="4CBFEF8D">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876" w:type="dxa"/>
            <w:tcBorders>
              <w:top w:val="nil"/>
              <w:left w:val="nil"/>
              <w:bottom w:val="single" w:color="auto" w:sz="4" w:space="0"/>
              <w:right w:val="single" w:color="auto" w:sz="4" w:space="0"/>
            </w:tcBorders>
            <w:shd w:val="clear" w:color="auto" w:fill="auto"/>
            <w:vAlign w:val="center"/>
          </w:tcPr>
          <w:p w14:paraId="7A55CD29">
            <w:pPr>
              <w:widowControl/>
              <w:jc w:val="center"/>
              <w:rPr>
                <w:rFonts w:hint="eastAsia" w:ascii="宋体" w:hAnsi="宋体" w:cs="宋体"/>
                <w:kern w:val="0"/>
                <w:sz w:val="20"/>
                <w:szCs w:val="20"/>
              </w:rPr>
            </w:pPr>
            <w:r>
              <w:rPr>
                <w:rFonts w:hint="eastAsia" w:ascii="宋体" w:hAnsi="宋体" w:cs="宋体"/>
                <w:kern w:val="0"/>
                <w:sz w:val="20"/>
                <w:szCs w:val="20"/>
              </w:rPr>
              <w:t>=146平方米</w:t>
            </w:r>
          </w:p>
        </w:tc>
        <w:tc>
          <w:tcPr>
            <w:tcW w:w="613" w:type="dxa"/>
            <w:tcBorders>
              <w:top w:val="nil"/>
              <w:left w:val="nil"/>
              <w:bottom w:val="single" w:color="auto" w:sz="4" w:space="0"/>
              <w:right w:val="single" w:color="auto" w:sz="4" w:space="0"/>
            </w:tcBorders>
            <w:shd w:val="clear" w:color="auto" w:fill="auto"/>
            <w:vAlign w:val="center"/>
          </w:tcPr>
          <w:p w14:paraId="48AC8F09">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4C127166">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3278BF39">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5D4CB51D">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62CCF758">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900" w:type="dxa"/>
            <w:tcBorders>
              <w:top w:val="nil"/>
              <w:left w:val="nil"/>
              <w:bottom w:val="single" w:color="auto" w:sz="4" w:space="0"/>
              <w:right w:val="single" w:color="auto" w:sz="4" w:space="0"/>
            </w:tcBorders>
            <w:shd w:val="clear" w:color="auto" w:fill="auto"/>
            <w:vAlign w:val="center"/>
          </w:tcPr>
          <w:p w14:paraId="6C39D4B1">
            <w:pPr>
              <w:widowControl/>
              <w:jc w:val="center"/>
              <w:rPr>
                <w:rFonts w:hint="eastAsia" w:ascii="宋体" w:hAnsi="宋体" w:cs="宋体"/>
                <w:kern w:val="0"/>
                <w:sz w:val="20"/>
                <w:szCs w:val="20"/>
              </w:rPr>
            </w:pPr>
            <w:r>
              <w:rPr>
                <w:rFonts w:hint="eastAsia" w:ascii="宋体" w:hAnsi="宋体" w:cs="宋体"/>
                <w:kern w:val="0"/>
                <w:sz w:val="20"/>
                <w:szCs w:val="20"/>
              </w:rPr>
              <w:t>&gt;=3辆</w:t>
            </w:r>
          </w:p>
        </w:tc>
        <w:tc>
          <w:tcPr>
            <w:tcW w:w="1272" w:type="dxa"/>
            <w:tcBorders>
              <w:top w:val="nil"/>
              <w:left w:val="nil"/>
              <w:bottom w:val="single" w:color="auto" w:sz="4" w:space="0"/>
              <w:right w:val="single" w:color="auto" w:sz="4" w:space="0"/>
            </w:tcBorders>
            <w:shd w:val="clear" w:color="auto" w:fill="auto"/>
            <w:vAlign w:val="center"/>
          </w:tcPr>
          <w:p w14:paraId="01A16F75">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中共木垒县委员会办公室木垒县人民政府办公室关于印发《木垒哈萨克自治县应急管理局职能配置、内设机构和人员编制规定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948" w:type="dxa"/>
            <w:tcBorders>
              <w:top w:val="nil"/>
              <w:left w:val="nil"/>
              <w:bottom w:val="single" w:color="auto" w:sz="4" w:space="0"/>
              <w:right w:val="single" w:color="auto" w:sz="4" w:space="0"/>
            </w:tcBorders>
            <w:shd w:val="clear" w:color="auto" w:fill="auto"/>
            <w:vAlign w:val="center"/>
          </w:tcPr>
          <w:p w14:paraId="293D976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3AE4F65F">
            <w:pPr>
              <w:widowControl/>
              <w:jc w:val="center"/>
              <w:rPr>
                <w:rFonts w:hint="eastAsia" w:ascii="宋体" w:hAnsi="宋体" w:cs="宋体"/>
                <w:kern w:val="0"/>
                <w:sz w:val="20"/>
                <w:szCs w:val="20"/>
              </w:rPr>
            </w:pPr>
            <w:r>
              <w:rPr>
                <w:rFonts w:hint="eastAsia" w:ascii="宋体" w:hAnsi="宋体" w:cs="宋体"/>
                <w:kern w:val="0"/>
                <w:sz w:val="20"/>
                <w:szCs w:val="20"/>
              </w:rPr>
              <w:t>=3辆</w:t>
            </w:r>
          </w:p>
        </w:tc>
        <w:tc>
          <w:tcPr>
            <w:tcW w:w="613" w:type="dxa"/>
            <w:tcBorders>
              <w:top w:val="nil"/>
              <w:left w:val="nil"/>
              <w:bottom w:val="single" w:color="auto" w:sz="4" w:space="0"/>
              <w:right w:val="single" w:color="auto" w:sz="4" w:space="0"/>
            </w:tcBorders>
            <w:shd w:val="clear" w:color="auto" w:fill="auto"/>
            <w:vAlign w:val="center"/>
          </w:tcPr>
          <w:p w14:paraId="7CCC7E3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99938FE">
        <w:tblPrEx>
          <w:tblCellMar>
            <w:top w:w="0" w:type="dxa"/>
            <w:left w:w="108" w:type="dxa"/>
            <w:bottom w:w="0" w:type="dxa"/>
            <w:right w:w="108" w:type="dxa"/>
          </w:tblCellMar>
        </w:tblPrEx>
        <w:trPr>
          <w:trHeight w:val="741" w:hRule="atLeast"/>
          <w:jc w:val="center"/>
        </w:trPr>
        <w:tc>
          <w:tcPr>
            <w:tcW w:w="1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1DDE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297" w:type="dxa"/>
            <w:vMerge w:val="restart"/>
            <w:tcBorders>
              <w:top w:val="nil"/>
              <w:left w:val="single" w:color="auto" w:sz="4" w:space="0"/>
              <w:bottom w:val="single" w:color="auto" w:sz="4" w:space="0"/>
              <w:right w:val="single" w:color="auto" w:sz="4" w:space="0"/>
            </w:tcBorders>
            <w:shd w:val="clear" w:color="auto" w:fill="auto"/>
            <w:vAlign w:val="center"/>
          </w:tcPr>
          <w:p w14:paraId="672BC23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96" w:type="dxa"/>
            <w:tcBorders>
              <w:top w:val="nil"/>
              <w:left w:val="nil"/>
              <w:bottom w:val="single" w:color="auto" w:sz="4" w:space="0"/>
              <w:right w:val="single" w:color="auto" w:sz="4" w:space="0"/>
            </w:tcBorders>
            <w:shd w:val="clear" w:color="auto" w:fill="auto"/>
            <w:vAlign w:val="center"/>
          </w:tcPr>
          <w:p w14:paraId="14C667CA">
            <w:pPr>
              <w:widowControl/>
              <w:jc w:val="center"/>
              <w:rPr>
                <w:rFonts w:hint="eastAsia" w:ascii="宋体" w:hAnsi="宋体" w:cs="宋体"/>
                <w:kern w:val="0"/>
                <w:sz w:val="20"/>
                <w:szCs w:val="20"/>
              </w:rPr>
            </w:pPr>
            <w:r>
              <w:rPr>
                <w:rFonts w:hint="eastAsia" w:ascii="宋体" w:hAnsi="宋体" w:cs="宋体"/>
                <w:kern w:val="0"/>
                <w:sz w:val="20"/>
                <w:szCs w:val="20"/>
              </w:rPr>
              <w:t>安全生产风险专项整治覆盖率</w:t>
            </w:r>
          </w:p>
        </w:tc>
        <w:tc>
          <w:tcPr>
            <w:tcW w:w="900" w:type="dxa"/>
            <w:tcBorders>
              <w:top w:val="nil"/>
              <w:left w:val="nil"/>
              <w:bottom w:val="single" w:color="auto" w:sz="4" w:space="0"/>
              <w:right w:val="single" w:color="auto" w:sz="4" w:space="0"/>
            </w:tcBorders>
            <w:shd w:val="clear" w:color="auto" w:fill="auto"/>
            <w:vAlign w:val="center"/>
          </w:tcPr>
          <w:p w14:paraId="1A885F8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72" w:type="dxa"/>
            <w:tcBorders>
              <w:top w:val="nil"/>
              <w:left w:val="nil"/>
              <w:bottom w:val="single" w:color="auto" w:sz="4" w:space="0"/>
              <w:right w:val="single" w:color="auto" w:sz="4" w:space="0"/>
            </w:tcBorders>
            <w:shd w:val="clear" w:color="auto" w:fill="auto"/>
            <w:vAlign w:val="center"/>
          </w:tcPr>
          <w:p w14:paraId="7CC50817">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vAlign w:val="center"/>
          </w:tcPr>
          <w:p w14:paraId="2DD462F4">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vAlign w:val="center"/>
          </w:tcPr>
          <w:p w14:paraId="47E4E3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3" w:type="dxa"/>
            <w:tcBorders>
              <w:top w:val="nil"/>
              <w:left w:val="nil"/>
              <w:bottom w:val="single" w:color="auto" w:sz="4" w:space="0"/>
              <w:right w:val="single" w:color="auto" w:sz="4" w:space="0"/>
            </w:tcBorders>
            <w:shd w:val="clear" w:color="auto" w:fill="auto"/>
            <w:vAlign w:val="center"/>
          </w:tcPr>
          <w:p w14:paraId="32ED6DC7">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1DFE144">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662C4FF9">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4D04EC48">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50E9646A">
            <w:pPr>
              <w:widowControl/>
              <w:jc w:val="center"/>
              <w:rPr>
                <w:rFonts w:hint="eastAsia" w:ascii="宋体" w:hAnsi="宋体" w:cs="宋体"/>
                <w:kern w:val="0"/>
                <w:sz w:val="20"/>
                <w:szCs w:val="20"/>
              </w:rPr>
            </w:pPr>
            <w:r>
              <w:rPr>
                <w:rFonts w:hint="eastAsia" w:ascii="宋体" w:hAnsi="宋体" w:cs="宋体"/>
                <w:kern w:val="0"/>
                <w:sz w:val="20"/>
                <w:szCs w:val="20"/>
              </w:rPr>
              <w:t>安全生产重点检查企业数量</w:t>
            </w:r>
          </w:p>
        </w:tc>
        <w:tc>
          <w:tcPr>
            <w:tcW w:w="900" w:type="dxa"/>
            <w:tcBorders>
              <w:top w:val="nil"/>
              <w:left w:val="nil"/>
              <w:bottom w:val="single" w:color="auto" w:sz="4" w:space="0"/>
              <w:right w:val="single" w:color="auto" w:sz="4" w:space="0"/>
            </w:tcBorders>
            <w:shd w:val="clear" w:color="auto" w:fill="auto"/>
            <w:vAlign w:val="center"/>
          </w:tcPr>
          <w:p w14:paraId="24BE23AE">
            <w:pPr>
              <w:widowControl/>
              <w:jc w:val="center"/>
              <w:rPr>
                <w:rFonts w:hint="eastAsia" w:ascii="宋体" w:hAnsi="宋体" w:cs="宋体"/>
                <w:kern w:val="0"/>
                <w:sz w:val="20"/>
                <w:szCs w:val="20"/>
              </w:rPr>
            </w:pPr>
            <w:r>
              <w:rPr>
                <w:rFonts w:hint="eastAsia" w:ascii="宋体" w:hAnsi="宋体" w:cs="宋体"/>
                <w:kern w:val="0"/>
                <w:sz w:val="20"/>
                <w:szCs w:val="20"/>
              </w:rPr>
              <w:t>&gt;=50个</w:t>
            </w:r>
          </w:p>
        </w:tc>
        <w:tc>
          <w:tcPr>
            <w:tcW w:w="1272" w:type="dxa"/>
            <w:tcBorders>
              <w:top w:val="nil"/>
              <w:left w:val="nil"/>
              <w:bottom w:val="single" w:color="auto" w:sz="4" w:space="0"/>
              <w:right w:val="single" w:color="auto" w:sz="4" w:space="0"/>
            </w:tcBorders>
            <w:shd w:val="clear" w:color="auto" w:fill="auto"/>
            <w:vAlign w:val="center"/>
          </w:tcPr>
          <w:p w14:paraId="2D6B96A4">
            <w:pPr>
              <w:widowControl/>
              <w:jc w:val="center"/>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vAlign w:val="center"/>
          </w:tcPr>
          <w:p w14:paraId="137ECF8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76" w:type="dxa"/>
            <w:tcBorders>
              <w:top w:val="nil"/>
              <w:left w:val="nil"/>
              <w:bottom w:val="single" w:color="auto" w:sz="4" w:space="0"/>
              <w:right w:val="single" w:color="auto" w:sz="4" w:space="0"/>
            </w:tcBorders>
            <w:shd w:val="clear" w:color="auto" w:fill="auto"/>
            <w:vAlign w:val="center"/>
          </w:tcPr>
          <w:p w14:paraId="02ECE9A8">
            <w:pPr>
              <w:widowControl/>
              <w:jc w:val="center"/>
              <w:rPr>
                <w:rFonts w:hint="eastAsia" w:ascii="宋体" w:hAnsi="宋体" w:cs="宋体"/>
                <w:kern w:val="0"/>
                <w:sz w:val="20"/>
                <w:szCs w:val="20"/>
              </w:rPr>
            </w:pPr>
            <w:r>
              <w:rPr>
                <w:rFonts w:hint="eastAsia" w:ascii="宋体" w:hAnsi="宋体" w:cs="宋体"/>
                <w:kern w:val="0"/>
                <w:sz w:val="20"/>
                <w:szCs w:val="20"/>
              </w:rPr>
              <w:t>=50个</w:t>
            </w:r>
          </w:p>
        </w:tc>
        <w:tc>
          <w:tcPr>
            <w:tcW w:w="613" w:type="dxa"/>
            <w:tcBorders>
              <w:top w:val="nil"/>
              <w:left w:val="nil"/>
              <w:bottom w:val="single" w:color="auto" w:sz="4" w:space="0"/>
              <w:right w:val="single" w:color="auto" w:sz="4" w:space="0"/>
            </w:tcBorders>
            <w:shd w:val="clear" w:color="auto" w:fill="auto"/>
            <w:vAlign w:val="center"/>
          </w:tcPr>
          <w:p w14:paraId="55CC838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FA0FCEF">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24D1AFCB">
            <w:pPr>
              <w:widowControl/>
              <w:jc w:val="left"/>
              <w:rPr>
                <w:rFonts w:hint="eastAsia" w:ascii="宋体" w:hAnsi="宋体" w:cs="宋体"/>
                <w:kern w:val="0"/>
                <w:sz w:val="20"/>
                <w:szCs w:val="20"/>
              </w:rPr>
            </w:pPr>
          </w:p>
        </w:tc>
        <w:tc>
          <w:tcPr>
            <w:tcW w:w="1297" w:type="dxa"/>
            <w:vMerge w:val="continue"/>
            <w:tcBorders>
              <w:top w:val="nil"/>
              <w:left w:val="single" w:color="auto" w:sz="4" w:space="0"/>
              <w:bottom w:val="single" w:color="auto" w:sz="4" w:space="0"/>
              <w:right w:val="single" w:color="auto" w:sz="4" w:space="0"/>
            </w:tcBorders>
            <w:vAlign w:val="center"/>
          </w:tcPr>
          <w:p w14:paraId="1B51BA2B">
            <w:pPr>
              <w:widowControl/>
              <w:jc w:val="left"/>
              <w:rPr>
                <w:rFonts w:hint="eastAsia" w:ascii="宋体" w:hAnsi="宋体" w:cs="宋体"/>
                <w:kern w:val="0"/>
                <w:sz w:val="20"/>
                <w:szCs w:val="20"/>
              </w:rPr>
            </w:pPr>
          </w:p>
        </w:tc>
        <w:tc>
          <w:tcPr>
            <w:tcW w:w="1296" w:type="dxa"/>
            <w:tcBorders>
              <w:top w:val="nil"/>
              <w:left w:val="nil"/>
              <w:bottom w:val="single" w:color="auto" w:sz="4" w:space="0"/>
              <w:right w:val="single" w:color="auto" w:sz="4" w:space="0"/>
            </w:tcBorders>
            <w:shd w:val="clear" w:color="auto" w:fill="auto"/>
            <w:noWrap/>
            <w:vAlign w:val="center"/>
          </w:tcPr>
          <w:p w14:paraId="295FB8AC">
            <w:pPr>
              <w:widowControl/>
              <w:jc w:val="left"/>
              <w:rPr>
                <w:rFonts w:hint="eastAsia" w:ascii="宋体" w:hAnsi="宋体" w:cs="宋体"/>
                <w:kern w:val="0"/>
                <w:sz w:val="20"/>
                <w:szCs w:val="20"/>
              </w:rPr>
            </w:pPr>
            <w:r>
              <w:rPr>
                <w:rFonts w:hint="eastAsia" w:ascii="宋体" w:hAnsi="宋体" w:cs="宋体"/>
                <w:kern w:val="0"/>
                <w:sz w:val="20"/>
                <w:szCs w:val="20"/>
              </w:rPr>
              <w:t>全县重大安全事故发生率</w:t>
            </w:r>
          </w:p>
        </w:tc>
        <w:tc>
          <w:tcPr>
            <w:tcW w:w="900" w:type="dxa"/>
            <w:tcBorders>
              <w:top w:val="nil"/>
              <w:left w:val="nil"/>
              <w:bottom w:val="single" w:color="auto" w:sz="4" w:space="0"/>
              <w:right w:val="single" w:color="auto" w:sz="4" w:space="0"/>
            </w:tcBorders>
            <w:shd w:val="clear" w:color="auto" w:fill="auto"/>
            <w:noWrap/>
            <w:vAlign w:val="center"/>
          </w:tcPr>
          <w:p w14:paraId="583C6909">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272" w:type="dxa"/>
            <w:tcBorders>
              <w:top w:val="nil"/>
              <w:left w:val="nil"/>
              <w:bottom w:val="single" w:color="auto" w:sz="4" w:space="0"/>
              <w:right w:val="single" w:color="auto" w:sz="4" w:space="0"/>
            </w:tcBorders>
            <w:shd w:val="clear" w:color="auto" w:fill="auto"/>
            <w:noWrap/>
            <w:vAlign w:val="center"/>
          </w:tcPr>
          <w:p w14:paraId="20967435">
            <w:pPr>
              <w:widowControl/>
              <w:jc w:val="left"/>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noWrap/>
            <w:vAlign w:val="center"/>
          </w:tcPr>
          <w:p w14:paraId="46F4EB59">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noWrap/>
            <w:vAlign w:val="center"/>
          </w:tcPr>
          <w:p w14:paraId="3CF583DB">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613" w:type="dxa"/>
            <w:tcBorders>
              <w:top w:val="nil"/>
              <w:left w:val="nil"/>
              <w:bottom w:val="single" w:color="auto" w:sz="4" w:space="0"/>
              <w:right w:val="single" w:color="auto" w:sz="4" w:space="0"/>
            </w:tcBorders>
            <w:shd w:val="clear" w:color="auto" w:fill="auto"/>
            <w:noWrap/>
            <w:vAlign w:val="center"/>
          </w:tcPr>
          <w:p w14:paraId="31D05030">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6F200BE5">
        <w:tblPrEx>
          <w:tblCellMar>
            <w:top w:w="0" w:type="dxa"/>
            <w:left w:w="108" w:type="dxa"/>
            <w:bottom w:w="0" w:type="dxa"/>
            <w:right w:w="108" w:type="dxa"/>
          </w:tblCellMar>
        </w:tblPrEx>
        <w:trPr>
          <w:trHeight w:val="741" w:hRule="atLeast"/>
          <w:jc w:val="center"/>
        </w:trPr>
        <w:tc>
          <w:tcPr>
            <w:tcW w:w="1320" w:type="dxa"/>
            <w:vMerge w:val="continue"/>
            <w:tcBorders>
              <w:top w:val="single" w:color="auto" w:sz="4" w:space="0"/>
              <w:left w:val="single" w:color="auto" w:sz="4" w:space="0"/>
              <w:bottom w:val="single" w:color="auto" w:sz="4" w:space="0"/>
              <w:right w:val="single" w:color="auto" w:sz="4" w:space="0"/>
            </w:tcBorders>
            <w:vAlign w:val="center"/>
          </w:tcPr>
          <w:p w14:paraId="7E1418D7">
            <w:pPr>
              <w:widowControl/>
              <w:jc w:val="left"/>
              <w:rPr>
                <w:rFonts w:hint="eastAsia" w:ascii="宋体" w:hAnsi="宋体" w:cs="宋体"/>
                <w:kern w:val="0"/>
                <w:sz w:val="20"/>
                <w:szCs w:val="20"/>
              </w:rPr>
            </w:pPr>
          </w:p>
        </w:tc>
        <w:tc>
          <w:tcPr>
            <w:tcW w:w="1297" w:type="dxa"/>
            <w:tcBorders>
              <w:top w:val="nil"/>
              <w:left w:val="nil"/>
              <w:bottom w:val="single" w:color="auto" w:sz="4" w:space="0"/>
              <w:right w:val="single" w:color="auto" w:sz="4" w:space="0"/>
            </w:tcBorders>
            <w:shd w:val="clear" w:color="auto" w:fill="auto"/>
            <w:noWrap/>
            <w:vAlign w:val="center"/>
          </w:tcPr>
          <w:p w14:paraId="6409DCE6">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296" w:type="dxa"/>
            <w:tcBorders>
              <w:top w:val="nil"/>
              <w:left w:val="nil"/>
              <w:bottom w:val="single" w:color="auto" w:sz="4" w:space="0"/>
              <w:right w:val="single" w:color="auto" w:sz="4" w:space="0"/>
            </w:tcBorders>
            <w:shd w:val="clear" w:color="auto" w:fill="auto"/>
            <w:noWrap/>
            <w:vAlign w:val="center"/>
          </w:tcPr>
          <w:p w14:paraId="696C59DD">
            <w:pPr>
              <w:widowControl/>
              <w:jc w:val="left"/>
              <w:rPr>
                <w:rFonts w:hint="eastAsia" w:ascii="宋体" w:hAnsi="宋体" w:cs="宋体"/>
                <w:kern w:val="0"/>
                <w:sz w:val="20"/>
                <w:szCs w:val="20"/>
              </w:rPr>
            </w:pPr>
            <w:r>
              <w:rPr>
                <w:rFonts w:hint="eastAsia" w:ascii="宋体" w:hAnsi="宋体" w:cs="宋体"/>
                <w:kern w:val="0"/>
                <w:sz w:val="20"/>
                <w:szCs w:val="20"/>
              </w:rPr>
              <w:t>安全生产工作部署会议</w:t>
            </w:r>
          </w:p>
        </w:tc>
        <w:tc>
          <w:tcPr>
            <w:tcW w:w="900" w:type="dxa"/>
            <w:tcBorders>
              <w:top w:val="nil"/>
              <w:left w:val="nil"/>
              <w:bottom w:val="single" w:color="auto" w:sz="4" w:space="0"/>
              <w:right w:val="single" w:color="auto" w:sz="4" w:space="0"/>
            </w:tcBorders>
            <w:shd w:val="clear" w:color="auto" w:fill="auto"/>
            <w:noWrap/>
            <w:vAlign w:val="center"/>
          </w:tcPr>
          <w:p w14:paraId="7CC06C37">
            <w:pPr>
              <w:widowControl/>
              <w:jc w:val="left"/>
              <w:rPr>
                <w:rFonts w:hint="eastAsia" w:ascii="宋体" w:hAnsi="宋体" w:cs="宋体"/>
                <w:kern w:val="0"/>
                <w:sz w:val="20"/>
                <w:szCs w:val="20"/>
              </w:rPr>
            </w:pPr>
            <w:r>
              <w:rPr>
                <w:rFonts w:hint="eastAsia" w:ascii="宋体" w:hAnsi="宋体" w:cs="宋体"/>
                <w:kern w:val="0"/>
                <w:sz w:val="20"/>
                <w:szCs w:val="20"/>
              </w:rPr>
              <w:t>&gt;=12次</w:t>
            </w:r>
          </w:p>
        </w:tc>
        <w:tc>
          <w:tcPr>
            <w:tcW w:w="1272" w:type="dxa"/>
            <w:tcBorders>
              <w:top w:val="nil"/>
              <w:left w:val="nil"/>
              <w:bottom w:val="single" w:color="auto" w:sz="4" w:space="0"/>
              <w:right w:val="single" w:color="auto" w:sz="4" w:space="0"/>
            </w:tcBorders>
            <w:shd w:val="clear" w:color="auto" w:fill="auto"/>
            <w:noWrap/>
            <w:vAlign w:val="center"/>
          </w:tcPr>
          <w:p w14:paraId="7D0480A0">
            <w:pPr>
              <w:widowControl/>
              <w:jc w:val="left"/>
              <w:rPr>
                <w:rFonts w:hint="eastAsia" w:ascii="宋体" w:hAnsi="宋体" w:cs="宋体"/>
                <w:kern w:val="0"/>
                <w:sz w:val="20"/>
                <w:szCs w:val="20"/>
              </w:rPr>
            </w:pPr>
            <w:r>
              <w:rPr>
                <w:rFonts w:hint="eastAsia" w:ascii="宋体" w:hAnsi="宋体" w:cs="宋体"/>
                <w:kern w:val="0"/>
                <w:sz w:val="20"/>
                <w:szCs w:val="20"/>
              </w:rPr>
              <w:t>木垒哈萨克自治县应急管理局2023年工作计划</w:t>
            </w:r>
          </w:p>
        </w:tc>
        <w:tc>
          <w:tcPr>
            <w:tcW w:w="948" w:type="dxa"/>
            <w:tcBorders>
              <w:top w:val="nil"/>
              <w:left w:val="nil"/>
              <w:bottom w:val="single" w:color="auto" w:sz="4" w:space="0"/>
              <w:right w:val="single" w:color="auto" w:sz="4" w:space="0"/>
            </w:tcBorders>
            <w:shd w:val="clear" w:color="auto" w:fill="auto"/>
            <w:noWrap/>
            <w:vAlign w:val="center"/>
          </w:tcPr>
          <w:p w14:paraId="30C763B3">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76" w:type="dxa"/>
            <w:tcBorders>
              <w:top w:val="nil"/>
              <w:left w:val="nil"/>
              <w:bottom w:val="single" w:color="auto" w:sz="4" w:space="0"/>
              <w:right w:val="single" w:color="auto" w:sz="4" w:space="0"/>
            </w:tcBorders>
            <w:shd w:val="clear" w:color="auto" w:fill="auto"/>
            <w:noWrap/>
            <w:vAlign w:val="center"/>
          </w:tcPr>
          <w:p w14:paraId="6C48A151">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613" w:type="dxa"/>
            <w:tcBorders>
              <w:top w:val="nil"/>
              <w:left w:val="nil"/>
              <w:bottom w:val="single" w:color="auto" w:sz="4" w:space="0"/>
              <w:right w:val="single" w:color="auto" w:sz="4" w:space="0"/>
            </w:tcBorders>
            <w:shd w:val="clear" w:color="auto" w:fill="auto"/>
            <w:noWrap/>
            <w:vAlign w:val="center"/>
          </w:tcPr>
          <w:p w14:paraId="396191B8">
            <w:pPr>
              <w:widowControl/>
              <w:jc w:val="left"/>
              <w:rPr>
                <w:rFonts w:hint="eastAsia" w:ascii="宋体" w:hAnsi="宋体" w:cs="宋体"/>
                <w:kern w:val="0"/>
                <w:sz w:val="20"/>
                <w:szCs w:val="20"/>
              </w:rPr>
            </w:pPr>
            <w:r>
              <w:rPr>
                <w:rFonts w:hint="eastAsia" w:ascii="宋体" w:hAnsi="宋体" w:cs="宋体"/>
                <w:kern w:val="0"/>
                <w:sz w:val="20"/>
                <w:szCs w:val="20"/>
              </w:rPr>
              <w:t>15</w:t>
            </w:r>
          </w:p>
        </w:tc>
      </w:tr>
    </w:tbl>
    <w:p w14:paraId="4E5F33F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500"/>
        <w:gridCol w:w="493"/>
        <w:gridCol w:w="1056"/>
        <w:gridCol w:w="656"/>
        <w:gridCol w:w="716"/>
        <w:gridCol w:w="716"/>
        <w:gridCol w:w="190"/>
        <w:gridCol w:w="357"/>
        <w:gridCol w:w="127"/>
        <w:gridCol w:w="561"/>
        <w:gridCol w:w="379"/>
        <w:gridCol w:w="716"/>
      </w:tblGrid>
      <w:tr w14:paraId="72911109">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5AAC4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B6996D">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2478B4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12F5EE61">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8C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45B6D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2022年自治区特大防汛补助项目</w:t>
            </w:r>
          </w:p>
        </w:tc>
      </w:tr>
      <w:tr w14:paraId="5BD286C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6C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1" w:type="dxa"/>
            <w:gridSpan w:val="5"/>
            <w:tcBorders>
              <w:top w:val="single" w:color="auto" w:sz="4" w:space="0"/>
              <w:left w:val="nil"/>
              <w:bottom w:val="single" w:color="auto" w:sz="4" w:space="0"/>
              <w:right w:val="single" w:color="auto" w:sz="4" w:space="0"/>
            </w:tcBorders>
            <w:shd w:val="clear" w:color="auto" w:fill="auto"/>
            <w:vAlign w:val="center"/>
          </w:tcPr>
          <w:p w14:paraId="06CB3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木垒哈萨克自治县应急管理局</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3C19D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0" w:type="dxa"/>
            <w:gridSpan w:val="5"/>
            <w:tcBorders>
              <w:top w:val="single" w:color="auto" w:sz="4" w:space="0"/>
              <w:left w:val="nil"/>
              <w:bottom w:val="single" w:color="auto" w:sz="4" w:space="0"/>
              <w:right w:val="single" w:color="auto" w:sz="4" w:space="0"/>
            </w:tcBorders>
            <w:shd w:val="clear" w:color="auto" w:fill="auto"/>
            <w:vAlign w:val="center"/>
          </w:tcPr>
          <w:p w14:paraId="467A4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木垒哈萨克自治县应急管理局</w:t>
            </w:r>
          </w:p>
        </w:tc>
      </w:tr>
      <w:tr w14:paraId="1A7D8521">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96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0" w:type="dxa"/>
            <w:tcBorders>
              <w:top w:val="single" w:color="auto" w:sz="4" w:space="0"/>
              <w:left w:val="nil"/>
              <w:bottom w:val="single" w:color="auto" w:sz="4" w:space="0"/>
              <w:right w:val="single" w:color="auto" w:sz="4" w:space="0"/>
            </w:tcBorders>
            <w:shd w:val="clear" w:color="auto" w:fill="auto"/>
            <w:vAlign w:val="center"/>
          </w:tcPr>
          <w:p w14:paraId="50CEDF71">
            <w:pPr>
              <w:widowControl/>
              <w:jc w:val="center"/>
              <w:rPr>
                <w:rFonts w:hint="eastAsia" w:ascii="宋体" w:hAnsi="宋体" w:cs="宋体"/>
                <w:color w:val="000000"/>
                <w:kern w:val="0"/>
                <w:sz w:val="20"/>
                <w:szCs w:val="20"/>
              </w:rPr>
            </w:pPr>
          </w:p>
        </w:tc>
        <w:tc>
          <w:tcPr>
            <w:tcW w:w="1549" w:type="dxa"/>
            <w:gridSpan w:val="2"/>
            <w:tcBorders>
              <w:top w:val="nil"/>
              <w:left w:val="nil"/>
              <w:bottom w:val="single" w:color="auto" w:sz="4" w:space="0"/>
              <w:right w:val="single" w:color="auto" w:sz="4" w:space="0"/>
            </w:tcBorders>
            <w:shd w:val="clear" w:color="auto" w:fill="auto"/>
            <w:vAlign w:val="center"/>
          </w:tcPr>
          <w:p w14:paraId="2B5ED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702DC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27D47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1E19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50C5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58D5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E574A3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C690C57">
            <w:pPr>
              <w:widowControl/>
              <w:jc w:val="left"/>
              <w:rPr>
                <w:rFonts w:hint="eastAsia" w:ascii="宋体" w:hAnsi="宋体" w:cs="宋体"/>
                <w:color w:val="000000"/>
                <w:kern w:val="0"/>
                <w:sz w:val="20"/>
                <w:szCs w:val="20"/>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50B5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49" w:type="dxa"/>
            <w:gridSpan w:val="2"/>
            <w:tcBorders>
              <w:top w:val="nil"/>
              <w:left w:val="nil"/>
              <w:bottom w:val="single" w:color="auto" w:sz="4" w:space="0"/>
              <w:right w:val="single" w:color="auto" w:sz="4" w:space="0"/>
            </w:tcBorders>
            <w:shd w:val="clear" w:color="auto" w:fill="auto"/>
            <w:vAlign w:val="center"/>
          </w:tcPr>
          <w:p w14:paraId="604DB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1FE77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0F05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500DD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3DD1F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AFC5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DFE18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5C78F99">
            <w:pPr>
              <w:widowControl/>
              <w:jc w:val="left"/>
              <w:rPr>
                <w:rFonts w:hint="eastAsia" w:ascii="宋体" w:hAnsi="宋体" w:cs="宋体"/>
                <w:color w:val="000000"/>
                <w:kern w:val="0"/>
                <w:sz w:val="20"/>
                <w:szCs w:val="20"/>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03DCD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49" w:type="dxa"/>
            <w:gridSpan w:val="2"/>
            <w:tcBorders>
              <w:top w:val="nil"/>
              <w:left w:val="nil"/>
              <w:bottom w:val="single" w:color="auto" w:sz="4" w:space="0"/>
              <w:right w:val="single" w:color="auto" w:sz="4" w:space="0"/>
            </w:tcBorders>
            <w:shd w:val="clear" w:color="auto" w:fill="auto"/>
            <w:vAlign w:val="center"/>
          </w:tcPr>
          <w:p w14:paraId="4B075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73C82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605A8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0BD5E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7CEB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197F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42CE5C">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5F04780">
            <w:pPr>
              <w:widowControl/>
              <w:jc w:val="left"/>
              <w:rPr>
                <w:rFonts w:hint="eastAsia" w:ascii="宋体" w:hAnsi="宋体" w:cs="宋体"/>
                <w:color w:val="000000"/>
                <w:kern w:val="0"/>
                <w:sz w:val="20"/>
                <w:szCs w:val="20"/>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2DF3D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49" w:type="dxa"/>
            <w:gridSpan w:val="2"/>
            <w:tcBorders>
              <w:top w:val="nil"/>
              <w:left w:val="nil"/>
              <w:bottom w:val="single" w:color="auto" w:sz="4" w:space="0"/>
              <w:right w:val="single" w:color="auto" w:sz="4" w:space="0"/>
            </w:tcBorders>
            <w:shd w:val="clear" w:color="auto" w:fill="auto"/>
          </w:tcPr>
          <w:p w14:paraId="7DB1E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tcPr>
          <w:p w14:paraId="2CC88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6" w:type="dxa"/>
            <w:gridSpan w:val="2"/>
            <w:tcBorders>
              <w:top w:val="single" w:color="auto" w:sz="4" w:space="0"/>
              <w:left w:val="nil"/>
              <w:bottom w:val="single" w:color="auto" w:sz="4" w:space="0"/>
              <w:right w:val="single" w:color="auto" w:sz="4" w:space="0"/>
            </w:tcBorders>
            <w:shd w:val="clear" w:color="auto" w:fill="auto"/>
          </w:tcPr>
          <w:p w14:paraId="24B4D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49DAE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6D304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FF4B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582C29">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FF35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7" w:type="dxa"/>
            <w:gridSpan w:val="6"/>
            <w:tcBorders>
              <w:top w:val="single" w:color="auto" w:sz="4" w:space="0"/>
              <w:left w:val="nil"/>
              <w:bottom w:val="single" w:color="auto" w:sz="4" w:space="0"/>
              <w:right w:val="single" w:color="auto" w:sz="4" w:space="0"/>
            </w:tcBorders>
            <w:shd w:val="clear" w:color="auto" w:fill="auto"/>
            <w:vAlign w:val="center"/>
          </w:tcPr>
          <w:p w14:paraId="06A2F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6" w:type="dxa"/>
            <w:gridSpan w:val="7"/>
            <w:tcBorders>
              <w:top w:val="single" w:color="auto" w:sz="4" w:space="0"/>
              <w:left w:val="nil"/>
              <w:bottom w:val="single" w:color="auto" w:sz="4" w:space="0"/>
              <w:right w:val="single" w:color="auto" w:sz="4" w:space="0"/>
            </w:tcBorders>
            <w:shd w:val="clear" w:color="auto" w:fill="auto"/>
            <w:vAlign w:val="center"/>
          </w:tcPr>
          <w:p w14:paraId="35E3E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C46F5B">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A2DC76">
            <w:pPr>
              <w:widowControl/>
              <w:jc w:val="left"/>
              <w:rPr>
                <w:rFonts w:hint="eastAsia" w:ascii="宋体" w:hAnsi="宋体" w:cs="宋体"/>
                <w:color w:val="000000"/>
                <w:kern w:val="0"/>
                <w:sz w:val="20"/>
                <w:szCs w:val="20"/>
              </w:rPr>
            </w:pPr>
          </w:p>
        </w:tc>
        <w:tc>
          <w:tcPr>
            <w:tcW w:w="4837" w:type="dxa"/>
            <w:gridSpan w:val="6"/>
            <w:tcBorders>
              <w:top w:val="single" w:color="auto" w:sz="4" w:space="0"/>
              <w:left w:val="nil"/>
              <w:bottom w:val="single" w:color="auto" w:sz="4" w:space="0"/>
              <w:right w:val="single" w:color="auto" w:sz="4" w:space="0"/>
            </w:tcBorders>
            <w:shd w:val="clear" w:color="auto" w:fill="auto"/>
          </w:tcPr>
          <w:p w14:paraId="13F084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文件中自治区支持木垒县受洪旱灾害影响县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3046" w:type="dxa"/>
            <w:gridSpan w:val="7"/>
            <w:tcBorders>
              <w:top w:val="single" w:color="auto" w:sz="4" w:space="0"/>
              <w:left w:val="nil"/>
              <w:bottom w:val="single" w:color="auto" w:sz="4" w:space="0"/>
              <w:right w:val="single" w:color="auto" w:sz="4" w:space="0"/>
            </w:tcBorders>
            <w:shd w:val="clear" w:color="auto" w:fill="auto"/>
          </w:tcPr>
          <w:p w14:paraId="0D0D1A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伍，采购防汛抗旱抢险救援装备，切实提升抗洪抢险救援能力，避免因灾害对群众生命财产造成的影响。</w:t>
            </w:r>
          </w:p>
        </w:tc>
      </w:tr>
      <w:tr w14:paraId="53D0B9A2">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CF0C51B">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C68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993"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3B630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F79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66A2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0A6B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A21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75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2C1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BE93A1">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6E58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93634D5">
            <w:pPr>
              <w:widowControl/>
              <w:jc w:val="left"/>
              <w:rPr>
                <w:rFonts w:hint="eastAsia" w:ascii="宋体" w:hAnsi="宋体" w:cs="宋体"/>
                <w:color w:val="000000"/>
                <w:kern w:val="0"/>
                <w:sz w:val="20"/>
                <w:szCs w:val="20"/>
              </w:rPr>
            </w:pPr>
          </w:p>
        </w:tc>
        <w:tc>
          <w:tcPr>
            <w:tcW w:w="1993" w:type="dxa"/>
            <w:gridSpan w:val="2"/>
            <w:vMerge w:val="continue"/>
            <w:tcBorders>
              <w:top w:val="nil"/>
              <w:left w:val="single" w:color="auto" w:sz="4" w:space="0"/>
              <w:bottom w:val="single" w:color="auto" w:sz="4" w:space="0"/>
              <w:right w:val="single" w:color="auto" w:sz="4" w:space="0"/>
            </w:tcBorders>
            <w:vAlign w:val="center"/>
          </w:tcPr>
          <w:p w14:paraId="5F95BE59">
            <w:pPr>
              <w:widowControl/>
              <w:jc w:val="left"/>
              <w:rPr>
                <w:rFonts w:hint="eastAsia" w:ascii="宋体" w:hAnsi="宋体" w:cs="宋体"/>
                <w:color w:val="000000"/>
                <w:kern w:val="0"/>
                <w:sz w:val="20"/>
                <w:szCs w:val="20"/>
              </w:rPr>
            </w:pPr>
          </w:p>
        </w:tc>
        <w:tc>
          <w:tcPr>
            <w:tcW w:w="1712" w:type="dxa"/>
            <w:gridSpan w:val="2"/>
            <w:vMerge w:val="continue"/>
            <w:tcBorders>
              <w:top w:val="single" w:color="auto" w:sz="4" w:space="0"/>
              <w:left w:val="single" w:color="auto" w:sz="4" w:space="0"/>
              <w:bottom w:val="single" w:color="auto" w:sz="4" w:space="0"/>
              <w:right w:val="single" w:color="auto" w:sz="4" w:space="0"/>
            </w:tcBorders>
            <w:vAlign w:val="center"/>
          </w:tcPr>
          <w:p w14:paraId="0EB4368D">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29D670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B85A2DF">
            <w:pPr>
              <w:widowControl/>
              <w:jc w:val="left"/>
              <w:rPr>
                <w:rFonts w:hint="eastAsia" w:ascii="宋体" w:hAnsi="宋体" w:cs="宋体"/>
                <w:color w:val="000000"/>
                <w:kern w:val="0"/>
                <w:sz w:val="20"/>
                <w:szCs w:val="20"/>
              </w:rPr>
            </w:pPr>
          </w:p>
        </w:tc>
        <w:tc>
          <w:tcPr>
            <w:tcW w:w="547" w:type="dxa"/>
            <w:gridSpan w:val="2"/>
            <w:vMerge w:val="continue"/>
            <w:tcBorders>
              <w:top w:val="single" w:color="auto" w:sz="4" w:space="0"/>
              <w:left w:val="single" w:color="auto" w:sz="4" w:space="0"/>
              <w:bottom w:val="single" w:color="auto" w:sz="4" w:space="0"/>
              <w:right w:val="single" w:color="auto" w:sz="4" w:space="0"/>
            </w:tcBorders>
            <w:vAlign w:val="center"/>
          </w:tcPr>
          <w:p w14:paraId="30C63B79">
            <w:pPr>
              <w:widowControl/>
              <w:jc w:val="left"/>
              <w:rPr>
                <w:rFonts w:hint="eastAsia" w:ascii="宋体" w:hAnsi="宋体" w:cs="宋体"/>
                <w:color w:val="000000"/>
                <w:kern w:val="0"/>
                <w:sz w:val="20"/>
                <w:szCs w:val="20"/>
              </w:rPr>
            </w:pPr>
          </w:p>
        </w:tc>
        <w:tc>
          <w:tcPr>
            <w:tcW w:w="688" w:type="dxa"/>
            <w:gridSpan w:val="2"/>
            <w:vMerge w:val="continue"/>
            <w:tcBorders>
              <w:top w:val="single" w:color="auto" w:sz="4" w:space="0"/>
              <w:left w:val="single" w:color="auto" w:sz="4" w:space="0"/>
              <w:bottom w:val="single" w:color="auto" w:sz="4" w:space="0"/>
              <w:right w:val="single" w:color="auto" w:sz="4" w:space="0"/>
            </w:tcBorders>
            <w:vAlign w:val="center"/>
          </w:tcPr>
          <w:p w14:paraId="3FE47177">
            <w:pPr>
              <w:widowControl/>
              <w:jc w:val="left"/>
              <w:rPr>
                <w:rFonts w:hint="eastAsia" w:ascii="宋体" w:hAnsi="宋体" w:cs="宋体"/>
                <w:color w:val="000000"/>
                <w:kern w:val="0"/>
                <w:sz w:val="20"/>
                <w:szCs w:val="20"/>
              </w:rPr>
            </w:pPr>
          </w:p>
        </w:tc>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14:paraId="39E1BA46">
            <w:pPr>
              <w:widowControl/>
              <w:jc w:val="left"/>
              <w:rPr>
                <w:rFonts w:hint="eastAsia" w:ascii="宋体" w:hAnsi="宋体" w:cs="宋体"/>
                <w:color w:val="000000"/>
                <w:kern w:val="0"/>
                <w:sz w:val="20"/>
                <w:szCs w:val="20"/>
              </w:rPr>
            </w:pPr>
          </w:p>
        </w:tc>
      </w:tr>
      <w:tr w14:paraId="721958BE">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327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075E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993" w:type="dxa"/>
            <w:gridSpan w:val="2"/>
            <w:tcBorders>
              <w:top w:val="nil"/>
              <w:left w:val="nil"/>
              <w:bottom w:val="single" w:color="auto" w:sz="4" w:space="0"/>
              <w:right w:val="single" w:color="auto" w:sz="4" w:space="0"/>
            </w:tcBorders>
            <w:shd w:val="clear" w:color="auto" w:fill="auto"/>
            <w:vAlign w:val="center"/>
          </w:tcPr>
          <w:p w14:paraId="561A0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3F1502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采购防汛抢险救援物资、装备数量（台、套、件）</w:t>
            </w:r>
          </w:p>
        </w:tc>
        <w:tc>
          <w:tcPr>
            <w:tcW w:w="716" w:type="dxa"/>
            <w:tcBorders>
              <w:top w:val="nil"/>
              <w:left w:val="nil"/>
              <w:bottom w:val="single" w:color="auto" w:sz="4" w:space="0"/>
              <w:right w:val="single" w:color="auto" w:sz="4" w:space="0"/>
            </w:tcBorders>
            <w:shd w:val="clear" w:color="auto" w:fill="auto"/>
            <w:vAlign w:val="center"/>
          </w:tcPr>
          <w:p w14:paraId="2405F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716" w:type="dxa"/>
            <w:tcBorders>
              <w:top w:val="nil"/>
              <w:left w:val="nil"/>
              <w:bottom w:val="single" w:color="auto" w:sz="4" w:space="0"/>
              <w:right w:val="single" w:color="auto" w:sz="4" w:space="0"/>
            </w:tcBorders>
            <w:shd w:val="clear" w:color="auto" w:fill="auto"/>
            <w:vAlign w:val="center"/>
          </w:tcPr>
          <w:p w14:paraId="133DB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0ACA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3B9E2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3E0D9857">
            <w:pPr>
              <w:widowControl/>
              <w:jc w:val="center"/>
              <w:rPr>
                <w:rFonts w:hint="eastAsia" w:ascii="宋体" w:hAnsi="宋体" w:cs="宋体"/>
                <w:color w:val="000000"/>
                <w:kern w:val="0"/>
                <w:sz w:val="20"/>
                <w:szCs w:val="20"/>
              </w:rPr>
            </w:pPr>
          </w:p>
        </w:tc>
      </w:tr>
      <w:tr w14:paraId="77D7F36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6E68A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B2DE90">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5010F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36E374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采购抗旱设施设备（台、套）</w:t>
            </w:r>
          </w:p>
        </w:tc>
        <w:tc>
          <w:tcPr>
            <w:tcW w:w="716" w:type="dxa"/>
            <w:tcBorders>
              <w:top w:val="nil"/>
              <w:left w:val="nil"/>
              <w:bottom w:val="single" w:color="auto" w:sz="4" w:space="0"/>
              <w:right w:val="single" w:color="auto" w:sz="4" w:space="0"/>
            </w:tcBorders>
            <w:shd w:val="clear" w:color="auto" w:fill="auto"/>
            <w:vAlign w:val="center"/>
          </w:tcPr>
          <w:p w14:paraId="4EF97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16" w:type="dxa"/>
            <w:tcBorders>
              <w:top w:val="nil"/>
              <w:left w:val="nil"/>
              <w:bottom w:val="single" w:color="auto" w:sz="4" w:space="0"/>
              <w:right w:val="single" w:color="auto" w:sz="4" w:space="0"/>
            </w:tcBorders>
            <w:shd w:val="clear" w:color="auto" w:fill="auto"/>
            <w:vAlign w:val="center"/>
          </w:tcPr>
          <w:p w14:paraId="54446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FE5E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120A1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28E44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年中设备需求量增加，年初无法预估。</w:t>
            </w:r>
          </w:p>
        </w:tc>
      </w:tr>
      <w:tr w14:paraId="1BA58A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A1819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8F49F11">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5B875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72479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防汛抗旱设备政府采购率</w:t>
            </w:r>
          </w:p>
        </w:tc>
        <w:tc>
          <w:tcPr>
            <w:tcW w:w="716" w:type="dxa"/>
            <w:tcBorders>
              <w:top w:val="nil"/>
              <w:left w:val="nil"/>
              <w:bottom w:val="single" w:color="auto" w:sz="4" w:space="0"/>
              <w:right w:val="single" w:color="auto" w:sz="4" w:space="0"/>
            </w:tcBorders>
            <w:shd w:val="clear" w:color="auto" w:fill="auto"/>
            <w:vAlign w:val="center"/>
          </w:tcPr>
          <w:p w14:paraId="40B2C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69D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03B4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C983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7A510B3">
            <w:pPr>
              <w:widowControl/>
              <w:jc w:val="center"/>
              <w:rPr>
                <w:rFonts w:hint="eastAsia" w:ascii="宋体" w:hAnsi="宋体" w:cs="宋体"/>
                <w:color w:val="000000"/>
                <w:kern w:val="0"/>
                <w:sz w:val="20"/>
                <w:szCs w:val="20"/>
              </w:rPr>
            </w:pPr>
          </w:p>
        </w:tc>
      </w:tr>
      <w:tr w14:paraId="02E167F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AF20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17E6BF3">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5A000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4EC690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716" w:type="dxa"/>
            <w:tcBorders>
              <w:top w:val="nil"/>
              <w:left w:val="nil"/>
              <w:bottom w:val="single" w:color="auto" w:sz="4" w:space="0"/>
              <w:right w:val="single" w:color="auto" w:sz="4" w:space="0"/>
            </w:tcBorders>
            <w:shd w:val="clear" w:color="auto" w:fill="auto"/>
            <w:vAlign w:val="center"/>
          </w:tcPr>
          <w:p w14:paraId="329AF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7E70A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3690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2FD62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466C6585">
            <w:pPr>
              <w:widowControl/>
              <w:jc w:val="center"/>
              <w:rPr>
                <w:rFonts w:hint="eastAsia" w:ascii="宋体" w:hAnsi="宋体" w:cs="宋体"/>
                <w:color w:val="000000"/>
                <w:kern w:val="0"/>
                <w:sz w:val="20"/>
                <w:szCs w:val="20"/>
              </w:rPr>
            </w:pPr>
          </w:p>
        </w:tc>
      </w:tr>
      <w:tr w14:paraId="3B50A4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5EB09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A8A735">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1C238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1A420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设施设备采购完成时间</w:t>
            </w:r>
          </w:p>
        </w:tc>
        <w:tc>
          <w:tcPr>
            <w:tcW w:w="716" w:type="dxa"/>
            <w:tcBorders>
              <w:top w:val="nil"/>
              <w:left w:val="nil"/>
              <w:bottom w:val="single" w:color="auto" w:sz="4" w:space="0"/>
              <w:right w:val="single" w:color="auto" w:sz="4" w:space="0"/>
            </w:tcBorders>
            <w:shd w:val="clear" w:color="auto" w:fill="auto"/>
            <w:vAlign w:val="center"/>
          </w:tcPr>
          <w:p w14:paraId="7240F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2023年6月</w:t>
            </w:r>
          </w:p>
        </w:tc>
        <w:tc>
          <w:tcPr>
            <w:tcW w:w="716" w:type="dxa"/>
            <w:tcBorders>
              <w:top w:val="nil"/>
              <w:left w:val="nil"/>
              <w:bottom w:val="single" w:color="auto" w:sz="4" w:space="0"/>
              <w:right w:val="single" w:color="auto" w:sz="4" w:space="0"/>
            </w:tcBorders>
            <w:shd w:val="clear" w:color="auto" w:fill="auto"/>
            <w:vAlign w:val="center"/>
          </w:tcPr>
          <w:p w14:paraId="42234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=2023年6月</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F3CD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3CB3D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5B2A60F0">
            <w:pPr>
              <w:widowControl/>
              <w:jc w:val="center"/>
              <w:rPr>
                <w:rFonts w:hint="eastAsia" w:ascii="宋体" w:hAnsi="宋体" w:cs="宋体"/>
                <w:color w:val="000000"/>
                <w:kern w:val="0"/>
                <w:sz w:val="20"/>
                <w:szCs w:val="20"/>
              </w:rPr>
            </w:pPr>
          </w:p>
        </w:tc>
      </w:tr>
      <w:tr w14:paraId="3D5699E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C563A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28DD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993" w:type="dxa"/>
            <w:gridSpan w:val="2"/>
            <w:tcBorders>
              <w:top w:val="nil"/>
              <w:left w:val="nil"/>
              <w:bottom w:val="single" w:color="auto" w:sz="4" w:space="0"/>
              <w:right w:val="single" w:color="auto" w:sz="4" w:space="0"/>
            </w:tcBorders>
            <w:shd w:val="clear" w:color="auto" w:fill="auto"/>
            <w:vAlign w:val="center"/>
          </w:tcPr>
          <w:p w14:paraId="463F3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01642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采购防汛抢险救援物资、装备成本</w:t>
            </w:r>
          </w:p>
        </w:tc>
        <w:tc>
          <w:tcPr>
            <w:tcW w:w="716" w:type="dxa"/>
            <w:tcBorders>
              <w:top w:val="nil"/>
              <w:left w:val="nil"/>
              <w:bottom w:val="single" w:color="auto" w:sz="4" w:space="0"/>
              <w:right w:val="single" w:color="auto" w:sz="4" w:space="0"/>
            </w:tcBorders>
            <w:shd w:val="clear" w:color="auto" w:fill="auto"/>
            <w:vAlign w:val="center"/>
          </w:tcPr>
          <w:p w14:paraId="796C2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w:t>
            </w:r>
          </w:p>
        </w:tc>
        <w:tc>
          <w:tcPr>
            <w:tcW w:w="716" w:type="dxa"/>
            <w:tcBorders>
              <w:top w:val="nil"/>
              <w:left w:val="nil"/>
              <w:bottom w:val="single" w:color="auto" w:sz="4" w:space="0"/>
              <w:right w:val="single" w:color="auto" w:sz="4" w:space="0"/>
            </w:tcBorders>
            <w:shd w:val="clear" w:color="auto" w:fill="auto"/>
            <w:vAlign w:val="center"/>
          </w:tcPr>
          <w:p w14:paraId="4674A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455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4ED5F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01E2236A">
            <w:pPr>
              <w:widowControl/>
              <w:jc w:val="center"/>
              <w:rPr>
                <w:rFonts w:hint="eastAsia" w:ascii="宋体" w:hAnsi="宋体" w:cs="宋体"/>
                <w:color w:val="000000"/>
                <w:kern w:val="0"/>
                <w:sz w:val="20"/>
                <w:szCs w:val="20"/>
              </w:rPr>
            </w:pPr>
          </w:p>
        </w:tc>
      </w:tr>
      <w:tr w14:paraId="7A767B9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5A6B1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CA173C">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3CEA2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7E85F5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采购抗旱设施设备成本</w:t>
            </w:r>
          </w:p>
        </w:tc>
        <w:tc>
          <w:tcPr>
            <w:tcW w:w="716" w:type="dxa"/>
            <w:tcBorders>
              <w:top w:val="nil"/>
              <w:left w:val="nil"/>
              <w:bottom w:val="single" w:color="auto" w:sz="4" w:space="0"/>
              <w:right w:val="single" w:color="auto" w:sz="4" w:space="0"/>
            </w:tcBorders>
            <w:shd w:val="clear" w:color="auto" w:fill="auto"/>
            <w:vAlign w:val="center"/>
          </w:tcPr>
          <w:p w14:paraId="74344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&lt;=25万元</w:t>
            </w:r>
          </w:p>
        </w:tc>
        <w:tc>
          <w:tcPr>
            <w:tcW w:w="716" w:type="dxa"/>
            <w:tcBorders>
              <w:top w:val="nil"/>
              <w:left w:val="nil"/>
              <w:bottom w:val="single" w:color="auto" w:sz="4" w:space="0"/>
              <w:right w:val="single" w:color="auto" w:sz="4" w:space="0"/>
            </w:tcBorders>
            <w:shd w:val="clear" w:color="auto" w:fill="auto"/>
            <w:vAlign w:val="center"/>
          </w:tcPr>
          <w:p w14:paraId="14D93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CF5F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337DB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7FD14CF">
            <w:pPr>
              <w:widowControl/>
              <w:jc w:val="center"/>
              <w:rPr>
                <w:rFonts w:hint="eastAsia" w:ascii="宋体" w:hAnsi="宋体" w:cs="宋体"/>
                <w:color w:val="000000"/>
                <w:kern w:val="0"/>
                <w:sz w:val="20"/>
                <w:szCs w:val="20"/>
              </w:rPr>
            </w:pPr>
          </w:p>
        </w:tc>
      </w:tr>
      <w:tr w14:paraId="487C553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6B392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7B9FB3">
            <w:pPr>
              <w:widowControl/>
              <w:jc w:val="left"/>
              <w:rPr>
                <w:rFonts w:hint="eastAsia" w:ascii="宋体" w:hAnsi="宋体" w:cs="宋体"/>
                <w:color w:val="000000"/>
                <w:kern w:val="0"/>
                <w:sz w:val="20"/>
                <w:szCs w:val="20"/>
              </w:rPr>
            </w:pPr>
          </w:p>
        </w:tc>
        <w:tc>
          <w:tcPr>
            <w:tcW w:w="1993" w:type="dxa"/>
            <w:gridSpan w:val="2"/>
            <w:tcBorders>
              <w:top w:val="nil"/>
              <w:left w:val="nil"/>
              <w:bottom w:val="single" w:color="auto" w:sz="4" w:space="0"/>
              <w:right w:val="single" w:color="auto" w:sz="4" w:space="0"/>
            </w:tcBorders>
            <w:shd w:val="clear" w:color="auto" w:fill="auto"/>
            <w:vAlign w:val="center"/>
          </w:tcPr>
          <w:p w14:paraId="57AA6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3E67A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防汛抗旱救灾效果提升率</w:t>
            </w:r>
          </w:p>
        </w:tc>
        <w:tc>
          <w:tcPr>
            <w:tcW w:w="716" w:type="dxa"/>
            <w:tcBorders>
              <w:top w:val="nil"/>
              <w:left w:val="nil"/>
              <w:bottom w:val="single" w:color="auto" w:sz="4" w:space="0"/>
              <w:right w:val="single" w:color="auto" w:sz="4" w:space="0"/>
            </w:tcBorders>
            <w:shd w:val="clear" w:color="auto" w:fill="auto"/>
            <w:vAlign w:val="center"/>
          </w:tcPr>
          <w:p w14:paraId="28C97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3586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0F99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0218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720D771D">
            <w:pPr>
              <w:widowControl/>
              <w:jc w:val="center"/>
              <w:rPr>
                <w:rFonts w:hint="eastAsia" w:ascii="宋体" w:hAnsi="宋体" w:cs="宋体"/>
                <w:color w:val="000000"/>
                <w:kern w:val="0"/>
                <w:sz w:val="20"/>
                <w:szCs w:val="20"/>
              </w:rPr>
            </w:pPr>
          </w:p>
        </w:tc>
      </w:tr>
      <w:tr w14:paraId="40CC11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73A1E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4C177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3" w:type="dxa"/>
            <w:gridSpan w:val="2"/>
            <w:tcBorders>
              <w:top w:val="nil"/>
              <w:left w:val="nil"/>
              <w:bottom w:val="single" w:color="auto" w:sz="4" w:space="0"/>
              <w:right w:val="single" w:color="auto" w:sz="4" w:space="0"/>
            </w:tcBorders>
            <w:shd w:val="clear" w:color="auto" w:fill="auto"/>
            <w:vAlign w:val="center"/>
          </w:tcPr>
          <w:p w14:paraId="3B4DA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2" w:type="dxa"/>
            <w:gridSpan w:val="2"/>
            <w:tcBorders>
              <w:top w:val="single" w:color="auto" w:sz="4" w:space="0"/>
              <w:left w:val="nil"/>
              <w:bottom w:val="single" w:color="auto" w:sz="4" w:space="0"/>
              <w:right w:val="single" w:color="auto" w:sz="4" w:space="0"/>
            </w:tcBorders>
            <w:shd w:val="clear" w:color="auto" w:fill="auto"/>
            <w:noWrap/>
            <w:vAlign w:val="center"/>
          </w:tcPr>
          <w:p w14:paraId="2CFD5F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受灾群众满意度</w:t>
            </w:r>
          </w:p>
        </w:tc>
        <w:tc>
          <w:tcPr>
            <w:tcW w:w="716" w:type="dxa"/>
            <w:tcBorders>
              <w:top w:val="nil"/>
              <w:left w:val="nil"/>
              <w:bottom w:val="single" w:color="auto" w:sz="4" w:space="0"/>
              <w:right w:val="single" w:color="auto" w:sz="4" w:space="0"/>
            </w:tcBorders>
            <w:shd w:val="clear" w:color="auto" w:fill="auto"/>
            <w:vAlign w:val="center"/>
          </w:tcPr>
          <w:p w14:paraId="0F57C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49C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97AC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5365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4042260C">
            <w:pPr>
              <w:widowControl/>
              <w:jc w:val="center"/>
              <w:rPr>
                <w:rFonts w:hint="eastAsia" w:ascii="宋体" w:hAnsi="宋体" w:cs="宋体"/>
                <w:color w:val="000000"/>
                <w:kern w:val="0"/>
                <w:sz w:val="20"/>
                <w:szCs w:val="20"/>
              </w:rPr>
            </w:pPr>
          </w:p>
        </w:tc>
      </w:tr>
      <w:tr w14:paraId="3BC7211A">
        <w:tblPrEx>
          <w:tblCellMar>
            <w:top w:w="0" w:type="dxa"/>
            <w:left w:w="108" w:type="dxa"/>
            <w:bottom w:w="0" w:type="dxa"/>
            <w:right w:w="108" w:type="dxa"/>
          </w:tblCellMar>
        </w:tblPrEx>
        <w:trPr>
          <w:trHeight w:val="288" w:hRule="atLeast"/>
          <w:jc w:val="center"/>
        </w:trPr>
        <w:tc>
          <w:tcPr>
            <w:tcW w:w="596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FC49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2E7A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BE6E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93.4分</w:t>
            </w:r>
          </w:p>
        </w:tc>
        <w:tc>
          <w:tcPr>
            <w:tcW w:w="1095" w:type="dxa"/>
            <w:gridSpan w:val="2"/>
            <w:tcBorders>
              <w:top w:val="single" w:color="auto" w:sz="4" w:space="0"/>
              <w:left w:val="nil"/>
              <w:bottom w:val="single" w:color="auto" w:sz="4" w:space="0"/>
              <w:right w:val="single" w:color="auto" w:sz="4" w:space="0"/>
            </w:tcBorders>
            <w:shd w:val="clear" w:color="auto" w:fill="auto"/>
            <w:vAlign w:val="center"/>
          </w:tcPr>
          <w:p w14:paraId="1422C1DC">
            <w:pPr>
              <w:widowControl/>
              <w:jc w:val="center"/>
              <w:rPr>
                <w:rFonts w:hint="eastAsia" w:ascii="宋体" w:hAnsi="宋体" w:cs="宋体"/>
                <w:color w:val="000000"/>
                <w:kern w:val="0"/>
                <w:sz w:val="20"/>
                <w:szCs w:val="20"/>
              </w:rPr>
            </w:pPr>
          </w:p>
        </w:tc>
      </w:tr>
    </w:tbl>
    <w:p w14:paraId="614DBE88">
      <w:pPr>
        <w:ind w:firstLine="640" w:firstLineChars="200"/>
        <w:jc w:val="left"/>
        <w:rPr>
          <w:rFonts w:hint="eastAsia" w:ascii="黑体" w:hAnsi="黑体" w:eastAsia="黑体" w:cs="宋体"/>
          <w:bCs/>
          <w:kern w:val="0"/>
          <w:sz w:val="32"/>
          <w:szCs w:val="32"/>
        </w:rPr>
      </w:pPr>
    </w:p>
    <w:p w14:paraId="7E934A4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396AFE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6E7572E">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2408825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57C019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56D9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BF4FB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068DE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22C40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6C44E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3F4C1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BC33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2075D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FADAC3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4B4BD2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4CA699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40FA6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BD31EA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D4ADED4">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1C534AC7">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42686D04">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3B2AF930">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7AA66BE5">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5D8618A4">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7C6C2D8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5D1ABD93">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65E7993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0EE2456">
      <w:pPr>
        <w:ind w:firstLine="640" w:firstLineChars="200"/>
        <w:rPr>
          <w:rFonts w:ascii="仿宋_GB2312" w:eastAsia="仿宋_GB2312"/>
          <w:sz w:val="32"/>
          <w:szCs w:val="32"/>
        </w:rPr>
      </w:pPr>
    </w:p>
    <w:p w14:paraId="4AF497B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369B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CD8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27CD8C2">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8E47FD"/>
    <w:rsid w:val="000B49E4"/>
    <w:rsid w:val="000F67DA"/>
    <w:rsid w:val="00104D23"/>
    <w:rsid w:val="00123076"/>
    <w:rsid w:val="00124E77"/>
    <w:rsid w:val="00172E2C"/>
    <w:rsid w:val="001A4281"/>
    <w:rsid w:val="001C03A9"/>
    <w:rsid w:val="00212591"/>
    <w:rsid w:val="00213C59"/>
    <w:rsid w:val="003210CE"/>
    <w:rsid w:val="00326C40"/>
    <w:rsid w:val="00443ABD"/>
    <w:rsid w:val="004D31BF"/>
    <w:rsid w:val="004D495F"/>
    <w:rsid w:val="00601F15"/>
    <w:rsid w:val="00707F61"/>
    <w:rsid w:val="007B3FCA"/>
    <w:rsid w:val="007D11DE"/>
    <w:rsid w:val="00851094"/>
    <w:rsid w:val="008B7A22"/>
    <w:rsid w:val="008E47FD"/>
    <w:rsid w:val="0091311B"/>
    <w:rsid w:val="009545FE"/>
    <w:rsid w:val="009B5C5A"/>
    <w:rsid w:val="00B70D59"/>
    <w:rsid w:val="00C823A4"/>
    <w:rsid w:val="00D441F8"/>
    <w:rsid w:val="00DF3847"/>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922B8B"/>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1713FC"/>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7033</Words>
  <Characters>7977</Characters>
  <Lines>66</Lines>
  <Paragraphs>18</Paragraphs>
  <TotalTime>11</TotalTime>
  <ScaleCrop>false</ScaleCrop>
  <LinksUpToDate>false</LinksUpToDate>
  <CharactersWithSpaces>8052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2024-12-05T09:33:48Z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